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39F4" w14:textId="77777777" w:rsidR="007A7E45" w:rsidRPr="00AB38DA" w:rsidRDefault="007A7E45" w:rsidP="00FE4B89">
      <w:pPr>
        <w:rPr>
          <w:sz w:val="24"/>
          <w:szCs w:val="24"/>
        </w:rPr>
      </w:pPr>
    </w:p>
    <w:p w14:paraId="298E417E" w14:textId="6978EFDC" w:rsidR="005E44FD" w:rsidRPr="00AB38DA" w:rsidRDefault="005E44FD" w:rsidP="005E44FD">
      <w:pPr>
        <w:jc w:val="center"/>
        <w:rPr>
          <w:sz w:val="24"/>
          <w:szCs w:val="24"/>
        </w:rPr>
      </w:pPr>
      <w:r w:rsidRPr="00AB38DA">
        <w:rPr>
          <w:b/>
          <w:bCs/>
          <w:sz w:val="24"/>
          <w:szCs w:val="24"/>
        </w:rPr>
        <w:t>OBRAZLOŽENJE POSEBNOG DIJELA IZVJEŠTAJA O IZVRŠENJU FINANCIJSKOG PLANA</w:t>
      </w:r>
      <w:r w:rsidR="00C00F70">
        <w:rPr>
          <w:b/>
          <w:bCs/>
          <w:sz w:val="24"/>
          <w:szCs w:val="24"/>
        </w:rPr>
        <w:t xml:space="preserve"> JAVNE USTANOVE</w:t>
      </w:r>
      <w:r w:rsidRPr="00AB38DA">
        <w:rPr>
          <w:b/>
          <w:bCs/>
          <w:sz w:val="24"/>
          <w:szCs w:val="24"/>
        </w:rPr>
        <w:t xml:space="preserve"> LUČKE UPRAVE SISAK ZA 2025. GODIU</w:t>
      </w:r>
    </w:p>
    <w:p w14:paraId="4CBD2304" w14:textId="77777777" w:rsidR="005E44FD" w:rsidRPr="00AB38DA" w:rsidRDefault="005E44FD" w:rsidP="00FE4B89">
      <w:pPr>
        <w:rPr>
          <w:sz w:val="24"/>
          <w:szCs w:val="24"/>
        </w:rPr>
      </w:pPr>
    </w:p>
    <w:p w14:paraId="4E92EBC6" w14:textId="77777777" w:rsidR="005E44FD" w:rsidRPr="00AB38DA" w:rsidRDefault="005E44FD" w:rsidP="00FE4B89">
      <w:pPr>
        <w:rPr>
          <w:sz w:val="24"/>
          <w:szCs w:val="24"/>
        </w:rPr>
      </w:pPr>
    </w:p>
    <w:p w14:paraId="0C27167E" w14:textId="77777777" w:rsidR="009F54DF" w:rsidRPr="00AB38DA" w:rsidRDefault="00000000">
      <w:pPr>
        <w:pStyle w:val="Heading3"/>
        <w:rPr>
          <w:rFonts w:cs="Times New Roman"/>
          <w:sz w:val="24"/>
          <w:szCs w:val="24"/>
        </w:rPr>
      </w:pPr>
      <w:r w:rsidRPr="00AB38DA">
        <w:rPr>
          <w:rFonts w:cs="Times New Roman"/>
          <w:sz w:val="24"/>
          <w:szCs w:val="24"/>
        </w:rPr>
        <w:t>3115 RAZVOJ UNUTARNJE PLOVIDBE</w:t>
      </w:r>
    </w:p>
    <w:tbl>
      <w:tblPr>
        <w:tblStyle w:val="StilTablice"/>
        <w:tblW w:w="10206" w:type="dxa"/>
        <w:jc w:val="center"/>
        <w:tblLook w:val="04A0" w:firstRow="1" w:lastRow="0" w:firstColumn="1" w:lastColumn="0" w:noHBand="0" w:noVBand="1"/>
      </w:tblPr>
      <w:tblGrid>
        <w:gridCol w:w="1632"/>
        <w:gridCol w:w="2030"/>
        <w:gridCol w:w="2030"/>
        <w:gridCol w:w="2030"/>
        <w:gridCol w:w="1223"/>
        <w:gridCol w:w="1261"/>
      </w:tblGrid>
      <w:tr w:rsidR="009F54DF" w:rsidRPr="00AB38DA" w14:paraId="2D03A8BA" w14:textId="77777777" w:rsidTr="00DF6F0E">
        <w:trPr>
          <w:jc w:val="center"/>
        </w:trPr>
        <w:tc>
          <w:tcPr>
            <w:tcW w:w="1632" w:type="dxa"/>
            <w:shd w:val="clear" w:color="auto" w:fill="B5C0D8"/>
          </w:tcPr>
          <w:p w14:paraId="529692E0" w14:textId="77777777" w:rsidR="009F54DF" w:rsidRPr="00AB38DA" w:rsidRDefault="009F54DF">
            <w:pPr>
              <w:pStyle w:val="CellHeader"/>
              <w:rPr>
                <w:rFonts w:cs="Times New Roman"/>
                <w:sz w:val="24"/>
                <w:szCs w:val="24"/>
              </w:rPr>
            </w:pPr>
          </w:p>
        </w:tc>
        <w:tc>
          <w:tcPr>
            <w:tcW w:w="2042" w:type="dxa"/>
            <w:shd w:val="clear" w:color="auto" w:fill="B5C0D8"/>
          </w:tcPr>
          <w:p w14:paraId="758D7091" w14:textId="77777777" w:rsidR="009F54DF" w:rsidRPr="00AB38DA" w:rsidRDefault="00000000">
            <w:pPr>
              <w:pStyle w:val="CellHeader"/>
              <w:jc w:val="center"/>
              <w:rPr>
                <w:rFonts w:cs="Times New Roman"/>
                <w:sz w:val="24"/>
                <w:szCs w:val="24"/>
              </w:rPr>
            </w:pPr>
            <w:r w:rsidRPr="00AB38DA">
              <w:rPr>
                <w:rFonts w:cs="Times New Roman"/>
                <w:sz w:val="24"/>
                <w:szCs w:val="24"/>
              </w:rPr>
              <w:t>Izvršenje 2024. (eur)</w:t>
            </w:r>
          </w:p>
        </w:tc>
        <w:tc>
          <w:tcPr>
            <w:tcW w:w="2042" w:type="dxa"/>
            <w:shd w:val="clear" w:color="auto" w:fill="B5C0D8"/>
          </w:tcPr>
          <w:p w14:paraId="4E2458AC" w14:textId="77777777" w:rsidR="009F54DF" w:rsidRPr="00AB38DA" w:rsidRDefault="00000000">
            <w:pPr>
              <w:pStyle w:val="CellHeader"/>
              <w:jc w:val="center"/>
              <w:rPr>
                <w:rFonts w:cs="Times New Roman"/>
                <w:sz w:val="24"/>
                <w:szCs w:val="24"/>
              </w:rPr>
            </w:pPr>
            <w:r w:rsidRPr="00AB38DA">
              <w:rPr>
                <w:rFonts w:cs="Times New Roman"/>
                <w:sz w:val="24"/>
                <w:szCs w:val="24"/>
              </w:rPr>
              <w:t>Plan 2025. (eur)</w:t>
            </w:r>
          </w:p>
        </w:tc>
        <w:tc>
          <w:tcPr>
            <w:tcW w:w="2042" w:type="dxa"/>
            <w:shd w:val="clear" w:color="auto" w:fill="B5C0D8"/>
          </w:tcPr>
          <w:p w14:paraId="636A8AD6" w14:textId="77777777" w:rsidR="009F54DF" w:rsidRPr="00AB38DA" w:rsidRDefault="00000000">
            <w:pPr>
              <w:pStyle w:val="CellHeader"/>
              <w:jc w:val="center"/>
              <w:rPr>
                <w:rFonts w:cs="Times New Roman"/>
                <w:sz w:val="24"/>
                <w:szCs w:val="24"/>
              </w:rPr>
            </w:pPr>
            <w:r w:rsidRPr="00AB38DA">
              <w:rPr>
                <w:rFonts w:cs="Times New Roman"/>
                <w:sz w:val="24"/>
                <w:szCs w:val="24"/>
              </w:rPr>
              <w:t>Izvršenje 2025. (eur)</w:t>
            </w:r>
          </w:p>
        </w:tc>
        <w:tc>
          <w:tcPr>
            <w:tcW w:w="1224" w:type="dxa"/>
            <w:shd w:val="clear" w:color="auto" w:fill="B5C0D8"/>
          </w:tcPr>
          <w:p w14:paraId="095D111B" w14:textId="77777777" w:rsidR="009F54DF" w:rsidRPr="00AB38DA" w:rsidRDefault="00000000">
            <w:pPr>
              <w:pStyle w:val="CellHeader"/>
              <w:jc w:val="center"/>
              <w:rPr>
                <w:rFonts w:cs="Times New Roman"/>
                <w:sz w:val="24"/>
                <w:szCs w:val="24"/>
              </w:rPr>
            </w:pPr>
            <w:r w:rsidRPr="00AB38DA">
              <w:rPr>
                <w:rFonts w:cs="Times New Roman"/>
                <w:sz w:val="24"/>
                <w:szCs w:val="24"/>
              </w:rPr>
              <w:t>Indeks izvršenje 2025./plan 2025.</w:t>
            </w:r>
          </w:p>
        </w:tc>
        <w:tc>
          <w:tcPr>
            <w:tcW w:w="1224" w:type="dxa"/>
            <w:shd w:val="clear" w:color="auto" w:fill="B5C0D8"/>
          </w:tcPr>
          <w:p w14:paraId="5265F8B9" w14:textId="77777777" w:rsidR="009F54DF" w:rsidRPr="00AB38DA" w:rsidRDefault="00000000">
            <w:pPr>
              <w:pStyle w:val="CellHeader"/>
              <w:jc w:val="center"/>
              <w:rPr>
                <w:rFonts w:cs="Times New Roman"/>
                <w:sz w:val="24"/>
                <w:szCs w:val="24"/>
              </w:rPr>
            </w:pPr>
            <w:r w:rsidRPr="00AB38DA">
              <w:rPr>
                <w:rFonts w:cs="Times New Roman"/>
                <w:sz w:val="24"/>
                <w:szCs w:val="24"/>
              </w:rPr>
              <w:t>Index izvršenje 2025./2024.</w:t>
            </w:r>
          </w:p>
        </w:tc>
      </w:tr>
      <w:tr w:rsidR="00DF6F0E" w:rsidRPr="00AB38DA" w14:paraId="00BBE7CD" w14:textId="77777777" w:rsidTr="00DF6F0E">
        <w:trPr>
          <w:jc w:val="center"/>
        </w:trPr>
        <w:tc>
          <w:tcPr>
            <w:tcW w:w="1632" w:type="dxa"/>
          </w:tcPr>
          <w:p w14:paraId="006CA10B" w14:textId="77777777" w:rsidR="00DF6F0E" w:rsidRPr="00AB38DA" w:rsidRDefault="00DF6F0E" w:rsidP="00DF6F0E">
            <w:pPr>
              <w:pStyle w:val="CellColumn"/>
              <w:jc w:val="left"/>
              <w:rPr>
                <w:rFonts w:cs="Times New Roman"/>
                <w:sz w:val="24"/>
                <w:szCs w:val="24"/>
              </w:rPr>
            </w:pPr>
            <w:r w:rsidRPr="00AB38DA">
              <w:rPr>
                <w:rFonts w:cs="Times New Roman"/>
                <w:sz w:val="24"/>
                <w:szCs w:val="24"/>
              </w:rPr>
              <w:t>3115-RAZVOJ UNUTARNJE PLOVIDBE</w:t>
            </w:r>
          </w:p>
        </w:tc>
        <w:tc>
          <w:tcPr>
            <w:tcW w:w="2042" w:type="dxa"/>
          </w:tcPr>
          <w:p w14:paraId="626AE2AF" w14:textId="500CAC52" w:rsidR="00DF6F0E" w:rsidRPr="00AB38DA" w:rsidRDefault="00DF6F0E" w:rsidP="00DF6F0E">
            <w:pPr>
              <w:pStyle w:val="CellColumn"/>
              <w:jc w:val="right"/>
              <w:rPr>
                <w:rFonts w:cs="Times New Roman"/>
                <w:sz w:val="24"/>
                <w:szCs w:val="24"/>
              </w:rPr>
            </w:pPr>
            <w:r w:rsidRPr="00AB38DA">
              <w:rPr>
                <w:rFonts w:cs="Times New Roman"/>
                <w:sz w:val="24"/>
                <w:szCs w:val="24"/>
              </w:rPr>
              <w:t>4.821.941</w:t>
            </w:r>
          </w:p>
        </w:tc>
        <w:tc>
          <w:tcPr>
            <w:tcW w:w="2042" w:type="dxa"/>
          </w:tcPr>
          <w:p w14:paraId="39873C8D" w14:textId="3667E0AC" w:rsidR="00DF6F0E" w:rsidRPr="00AB38DA" w:rsidRDefault="00DF6F0E" w:rsidP="00DF6F0E">
            <w:pPr>
              <w:pStyle w:val="CellColumn"/>
              <w:jc w:val="right"/>
              <w:rPr>
                <w:rFonts w:cs="Times New Roman"/>
                <w:sz w:val="24"/>
                <w:szCs w:val="24"/>
              </w:rPr>
            </w:pPr>
            <w:r w:rsidRPr="00AB38DA">
              <w:rPr>
                <w:rFonts w:cs="Times New Roman"/>
                <w:sz w:val="24"/>
                <w:szCs w:val="24"/>
              </w:rPr>
              <w:t>3.881.722</w:t>
            </w:r>
          </w:p>
        </w:tc>
        <w:tc>
          <w:tcPr>
            <w:tcW w:w="2042" w:type="dxa"/>
          </w:tcPr>
          <w:p w14:paraId="142ABE86" w14:textId="39383FB3" w:rsidR="00DF6F0E" w:rsidRPr="00AB38DA" w:rsidRDefault="00DF6F0E" w:rsidP="00DF6F0E">
            <w:pPr>
              <w:pStyle w:val="CellColumn"/>
              <w:jc w:val="right"/>
              <w:rPr>
                <w:rFonts w:cs="Times New Roman"/>
                <w:sz w:val="24"/>
                <w:szCs w:val="24"/>
              </w:rPr>
            </w:pPr>
            <w:r w:rsidRPr="00AB38DA">
              <w:rPr>
                <w:rFonts w:cs="Times New Roman"/>
                <w:sz w:val="24"/>
                <w:szCs w:val="24"/>
              </w:rPr>
              <w:t>2.964.578</w:t>
            </w:r>
          </w:p>
        </w:tc>
        <w:tc>
          <w:tcPr>
            <w:tcW w:w="1224" w:type="dxa"/>
          </w:tcPr>
          <w:p w14:paraId="46DBD13A" w14:textId="4FA9B662" w:rsidR="00DF6F0E" w:rsidRPr="00AB38DA" w:rsidRDefault="00DF6F0E" w:rsidP="00DF6F0E">
            <w:pPr>
              <w:pStyle w:val="CellColumn"/>
              <w:jc w:val="right"/>
              <w:rPr>
                <w:rFonts w:cs="Times New Roman"/>
                <w:sz w:val="24"/>
                <w:szCs w:val="24"/>
              </w:rPr>
            </w:pPr>
            <w:r w:rsidRPr="00AB38DA">
              <w:rPr>
                <w:rFonts w:cs="Times New Roman"/>
                <w:sz w:val="24"/>
                <w:szCs w:val="24"/>
              </w:rPr>
              <w:t>94,88</w:t>
            </w:r>
          </w:p>
        </w:tc>
        <w:tc>
          <w:tcPr>
            <w:tcW w:w="1224" w:type="dxa"/>
          </w:tcPr>
          <w:p w14:paraId="79F680E6" w14:textId="2B23D675" w:rsidR="00DF6F0E" w:rsidRPr="00AB38DA" w:rsidRDefault="00DF6F0E" w:rsidP="00DF6F0E">
            <w:pPr>
              <w:pStyle w:val="CellColumn"/>
              <w:jc w:val="right"/>
              <w:rPr>
                <w:rFonts w:cs="Times New Roman"/>
                <w:sz w:val="24"/>
                <w:szCs w:val="24"/>
              </w:rPr>
            </w:pPr>
            <w:r w:rsidRPr="00AB38DA">
              <w:rPr>
                <w:rFonts w:cs="Times New Roman"/>
                <w:sz w:val="24"/>
                <w:szCs w:val="24"/>
              </w:rPr>
              <w:t>61,48</w:t>
            </w:r>
          </w:p>
        </w:tc>
      </w:tr>
    </w:tbl>
    <w:p w14:paraId="1A3FFC8D" w14:textId="77777777" w:rsidR="009818EA" w:rsidRPr="00AB38DA" w:rsidRDefault="009818EA">
      <w:pPr>
        <w:rPr>
          <w:sz w:val="24"/>
          <w:szCs w:val="24"/>
        </w:rPr>
      </w:pPr>
    </w:p>
    <w:p w14:paraId="1281F33A" w14:textId="043C5971" w:rsidR="009F54DF" w:rsidRPr="00AB38DA" w:rsidRDefault="00000000">
      <w:pPr>
        <w:rPr>
          <w:sz w:val="24"/>
          <w:szCs w:val="24"/>
        </w:rPr>
      </w:pPr>
      <w:r w:rsidRPr="00AB38DA">
        <w:rPr>
          <w:sz w:val="24"/>
          <w:szCs w:val="24"/>
        </w:rPr>
        <w:t>Javna ustanova Lučka uprava Sisak obavlja poslove organizacije i nadzora pristajanja i manevriranja plovila u luci, kontrolu lučkog prometa, održavanja, izgradnje i modernizacije zajedničkih lučkih građevina, upravljanje nekretninama na lučkom području na kojima ima pravo građenja, obavlja stručne poslova u vezi s davanjem odobrenja, nadzor nad radom lučkih operatera i korisnika luke koji obavljaju lučke djelatnosti, osigurava usluge od općeg interesa ili za koje postoji gospodarski interes, izrađuje prijedloge planskih dokumenata za razvitak lučkog sustava, tehničku pomoć tijelima lokalne i područne (regionalne) samouprave na području razvoja luka i pristaništa te druge poslove utvrđene Zakonom o plovidbi i lukama unutarnjih voda. Lučke djelatnosti obuhvaćaju lučke usluge (nautičke usluge, transportne usluge) i ostale gospodarske djelatnosti koje se obavljaju na lučkom području.</w:t>
      </w:r>
    </w:p>
    <w:p w14:paraId="1E5CC673" w14:textId="77777777" w:rsidR="009F54DF" w:rsidRPr="00AB38DA" w:rsidRDefault="00000000">
      <w:pPr>
        <w:pStyle w:val="Heading8"/>
        <w:jc w:val="left"/>
        <w:rPr>
          <w:sz w:val="24"/>
          <w:szCs w:val="24"/>
        </w:rPr>
      </w:pPr>
      <w:r w:rsidRPr="00AB38DA">
        <w:rPr>
          <w:sz w:val="24"/>
          <w:szCs w:val="24"/>
        </w:rPr>
        <w:t>Cilj 1. Razvijen sustav unutarnje plovidbe</w:t>
      </w:r>
    </w:p>
    <w:p w14:paraId="6835DD1A" w14:textId="77777777" w:rsidR="009F54DF" w:rsidRPr="00AB38DA" w:rsidRDefault="00000000">
      <w:pPr>
        <w:pStyle w:val="Heading8"/>
        <w:jc w:val="left"/>
        <w:rPr>
          <w:sz w:val="24"/>
          <w:szCs w:val="24"/>
        </w:rPr>
      </w:pPr>
      <w:r w:rsidRPr="00AB38DA">
        <w:rPr>
          <w:sz w:val="24"/>
          <w:szCs w:val="24"/>
        </w:rPr>
        <w:t>Opis provedbe cilja programa</w:t>
      </w:r>
    </w:p>
    <w:p w14:paraId="7570188A" w14:textId="77777777" w:rsidR="009F54DF" w:rsidRPr="00AB38DA" w:rsidRDefault="00000000">
      <w:pPr>
        <w:rPr>
          <w:sz w:val="24"/>
          <w:szCs w:val="24"/>
        </w:rPr>
      </w:pPr>
      <w:r w:rsidRPr="00AB38DA">
        <w:rPr>
          <w:sz w:val="24"/>
          <w:szCs w:val="24"/>
        </w:rPr>
        <w:t>Postiglo se obavljanje osnovne djelatnosti lučke uprave, pružanje javnih usluga prema brodarima i koncesionarima te je opremljen i stavljen u uporabu prodajno servisni centar u brodogradilišnoj luci u Galdovu, nastavljena je gradnja komunalnog pristaništa na rijeci Kupi u Sisku, dovršena je klasifikacijska dokumentacija te je dobiveno odobrenje HRB-a za Javno putničko pristanište te izvršene aktivnosti za razvoj pristaništa i skelnih prijelaza.</w:t>
      </w:r>
    </w:p>
    <w:p w14:paraId="76F3511B" w14:textId="77777777" w:rsidR="00F74AF5" w:rsidRPr="00AB38DA" w:rsidRDefault="00F74AF5" w:rsidP="00F74AF5">
      <w:pPr>
        <w:rPr>
          <w:sz w:val="24"/>
          <w:szCs w:val="24"/>
        </w:rPr>
      </w:pPr>
      <w:r w:rsidRPr="00AB38DA">
        <w:rPr>
          <w:sz w:val="24"/>
          <w:szCs w:val="24"/>
        </w:rPr>
        <w:t>Indeks izvršenja ukupnog plana Lučke uprave Sisak u 2025. godini u odnosu na 2024. godinu je 61,48%  zbog poništenja jedne od nabava za radove iz aktivnosti A931002 Gradnja i održvanje.</w:t>
      </w:r>
    </w:p>
    <w:p w14:paraId="38D24D7C" w14:textId="77777777" w:rsidR="00F74AF5" w:rsidRPr="00AB38DA" w:rsidRDefault="00F74AF5">
      <w:pPr>
        <w:rPr>
          <w:sz w:val="24"/>
          <w:szCs w:val="24"/>
        </w:rPr>
      </w:pPr>
    </w:p>
    <w:p w14:paraId="686A6E20" w14:textId="77777777" w:rsidR="009F54DF" w:rsidRPr="00AB38DA" w:rsidRDefault="00000000">
      <w:pPr>
        <w:pStyle w:val="Heading8"/>
        <w:jc w:val="left"/>
        <w:rPr>
          <w:sz w:val="24"/>
          <w:szCs w:val="24"/>
        </w:rPr>
      </w:pPr>
      <w:r w:rsidRPr="00AB38DA">
        <w:rPr>
          <w:sz w:val="24"/>
          <w:szCs w:val="24"/>
        </w:rPr>
        <w:t>Pokazatelji učinka</w:t>
      </w:r>
    </w:p>
    <w:tbl>
      <w:tblPr>
        <w:tblStyle w:val="StilTablice"/>
        <w:tblW w:w="10206" w:type="dxa"/>
        <w:jc w:val="center"/>
        <w:tblLook w:val="04A0" w:firstRow="1" w:lastRow="0" w:firstColumn="1" w:lastColumn="0" w:noHBand="0" w:noVBand="1"/>
      </w:tblPr>
      <w:tblGrid>
        <w:gridCol w:w="2471"/>
        <w:gridCol w:w="2471"/>
        <w:gridCol w:w="1012"/>
        <w:gridCol w:w="1074"/>
        <w:gridCol w:w="1017"/>
        <w:gridCol w:w="1074"/>
        <w:gridCol w:w="1087"/>
      </w:tblGrid>
      <w:tr w:rsidR="009F54DF" w:rsidRPr="00AB38DA" w14:paraId="0E067827" w14:textId="77777777">
        <w:trPr>
          <w:jc w:val="center"/>
        </w:trPr>
        <w:tc>
          <w:tcPr>
            <w:tcW w:w="2551" w:type="dxa"/>
            <w:shd w:val="clear" w:color="auto" w:fill="B5C0D8"/>
          </w:tcPr>
          <w:p w14:paraId="560FB58A" w14:textId="77777777" w:rsidR="009F54DF" w:rsidRPr="00AB38DA" w:rsidRDefault="00000000">
            <w:pPr>
              <w:jc w:val="center"/>
              <w:rPr>
                <w:sz w:val="24"/>
                <w:szCs w:val="24"/>
              </w:rPr>
            </w:pPr>
            <w:r w:rsidRPr="00AB38DA">
              <w:rPr>
                <w:sz w:val="24"/>
                <w:szCs w:val="24"/>
              </w:rPr>
              <w:t>Pokazatelj učinka</w:t>
            </w:r>
          </w:p>
        </w:tc>
        <w:tc>
          <w:tcPr>
            <w:tcW w:w="2551" w:type="dxa"/>
            <w:shd w:val="clear" w:color="auto" w:fill="B5C0D8"/>
          </w:tcPr>
          <w:p w14:paraId="33B448E6" w14:textId="77777777" w:rsidR="009F54DF" w:rsidRPr="00AB38DA" w:rsidRDefault="00000000">
            <w:pPr>
              <w:pStyle w:val="CellHeader"/>
              <w:jc w:val="center"/>
              <w:rPr>
                <w:rFonts w:cs="Times New Roman"/>
                <w:sz w:val="24"/>
                <w:szCs w:val="24"/>
              </w:rPr>
            </w:pPr>
            <w:r w:rsidRPr="00AB38DA">
              <w:rPr>
                <w:rFonts w:cs="Times New Roman"/>
                <w:sz w:val="24"/>
                <w:szCs w:val="24"/>
              </w:rPr>
              <w:t>Definicija</w:t>
            </w:r>
          </w:p>
        </w:tc>
        <w:tc>
          <w:tcPr>
            <w:tcW w:w="1020" w:type="dxa"/>
            <w:shd w:val="clear" w:color="auto" w:fill="B5C0D8"/>
          </w:tcPr>
          <w:p w14:paraId="265D6A43" w14:textId="77777777" w:rsidR="009F54DF" w:rsidRPr="00AB38DA" w:rsidRDefault="00000000">
            <w:pPr>
              <w:pStyle w:val="CellHeader"/>
              <w:jc w:val="center"/>
              <w:rPr>
                <w:rFonts w:cs="Times New Roman"/>
                <w:sz w:val="24"/>
                <w:szCs w:val="24"/>
              </w:rPr>
            </w:pPr>
            <w:r w:rsidRPr="00AB38DA">
              <w:rPr>
                <w:rFonts w:cs="Times New Roman"/>
                <w:sz w:val="24"/>
                <w:szCs w:val="24"/>
              </w:rPr>
              <w:t>Jedinica</w:t>
            </w:r>
          </w:p>
        </w:tc>
        <w:tc>
          <w:tcPr>
            <w:tcW w:w="1020" w:type="dxa"/>
            <w:shd w:val="clear" w:color="auto" w:fill="B5C0D8"/>
          </w:tcPr>
          <w:p w14:paraId="68C2437C" w14:textId="77777777" w:rsidR="009F54DF" w:rsidRPr="00AB38DA" w:rsidRDefault="00000000">
            <w:pPr>
              <w:pStyle w:val="CellHeader"/>
              <w:jc w:val="center"/>
              <w:rPr>
                <w:rFonts w:cs="Times New Roman"/>
                <w:sz w:val="24"/>
                <w:szCs w:val="24"/>
              </w:rPr>
            </w:pPr>
            <w:r w:rsidRPr="00AB38DA">
              <w:rPr>
                <w:rFonts w:cs="Times New Roman"/>
                <w:sz w:val="24"/>
                <w:szCs w:val="24"/>
              </w:rPr>
              <w:t>Polazna vrijednost</w:t>
            </w:r>
          </w:p>
        </w:tc>
        <w:tc>
          <w:tcPr>
            <w:tcW w:w="1020" w:type="dxa"/>
            <w:shd w:val="clear" w:color="auto" w:fill="B5C0D8"/>
          </w:tcPr>
          <w:p w14:paraId="7FA3E042" w14:textId="77777777" w:rsidR="009F54DF" w:rsidRPr="00AB38DA" w:rsidRDefault="00000000">
            <w:pPr>
              <w:pStyle w:val="CellHeader"/>
              <w:jc w:val="center"/>
              <w:rPr>
                <w:rFonts w:cs="Times New Roman"/>
                <w:sz w:val="24"/>
                <w:szCs w:val="24"/>
              </w:rPr>
            </w:pPr>
            <w:r w:rsidRPr="00AB38DA">
              <w:rPr>
                <w:rFonts w:cs="Times New Roman"/>
                <w:sz w:val="24"/>
                <w:szCs w:val="24"/>
              </w:rPr>
              <w:t>Izvor podataka</w:t>
            </w:r>
          </w:p>
        </w:tc>
        <w:tc>
          <w:tcPr>
            <w:tcW w:w="1020" w:type="dxa"/>
            <w:shd w:val="clear" w:color="auto" w:fill="B5C0D8"/>
          </w:tcPr>
          <w:p w14:paraId="4CDF399D" w14:textId="77777777" w:rsidR="009F54DF" w:rsidRPr="00AB38DA" w:rsidRDefault="00000000">
            <w:pPr>
              <w:pStyle w:val="CellHeader"/>
              <w:jc w:val="center"/>
              <w:rPr>
                <w:rFonts w:cs="Times New Roman"/>
                <w:sz w:val="24"/>
                <w:szCs w:val="24"/>
              </w:rPr>
            </w:pPr>
            <w:r w:rsidRPr="00AB38DA">
              <w:rPr>
                <w:rFonts w:cs="Times New Roman"/>
                <w:sz w:val="24"/>
                <w:szCs w:val="24"/>
              </w:rPr>
              <w:t>Ciljana vrijednost (2025.)</w:t>
            </w:r>
          </w:p>
        </w:tc>
        <w:tc>
          <w:tcPr>
            <w:tcW w:w="1020" w:type="dxa"/>
            <w:shd w:val="clear" w:color="auto" w:fill="B5C0D8"/>
          </w:tcPr>
          <w:p w14:paraId="2AB21CC5" w14:textId="77777777" w:rsidR="009F54DF" w:rsidRPr="00AB38DA" w:rsidRDefault="00000000">
            <w:pPr>
              <w:pStyle w:val="CellHeader"/>
              <w:jc w:val="center"/>
              <w:rPr>
                <w:rFonts w:cs="Times New Roman"/>
                <w:sz w:val="24"/>
                <w:szCs w:val="24"/>
              </w:rPr>
            </w:pPr>
            <w:r w:rsidRPr="00AB38DA">
              <w:rPr>
                <w:rFonts w:cs="Times New Roman"/>
                <w:sz w:val="24"/>
                <w:szCs w:val="24"/>
              </w:rPr>
              <w:t>Ostvarena vrijednost (2025.)</w:t>
            </w:r>
          </w:p>
        </w:tc>
      </w:tr>
      <w:tr w:rsidR="009F54DF" w:rsidRPr="00AB38DA" w14:paraId="4DF3E8AE" w14:textId="77777777">
        <w:trPr>
          <w:jc w:val="center"/>
        </w:trPr>
        <w:tc>
          <w:tcPr>
            <w:tcW w:w="2551" w:type="dxa"/>
          </w:tcPr>
          <w:p w14:paraId="293C27B1" w14:textId="77777777" w:rsidR="009F54DF" w:rsidRPr="00AB38DA" w:rsidRDefault="00000000">
            <w:pPr>
              <w:pStyle w:val="CellColumn"/>
              <w:jc w:val="left"/>
              <w:rPr>
                <w:rFonts w:cs="Times New Roman"/>
                <w:sz w:val="24"/>
                <w:szCs w:val="24"/>
              </w:rPr>
            </w:pPr>
            <w:r w:rsidRPr="00AB38DA">
              <w:rPr>
                <w:rFonts w:cs="Times New Roman"/>
                <w:sz w:val="24"/>
                <w:szCs w:val="24"/>
              </w:rPr>
              <w:t>Povećanje broja putnika u pristaništima u nadežnosti Lučke uprave Sisak</w:t>
            </w:r>
          </w:p>
        </w:tc>
        <w:tc>
          <w:tcPr>
            <w:tcW w:w="2551" w:type="dxa"/>
          </w:tcPr>
          <w:p w14:paraId="03CB7BA2" w14:textId="77777777" w:rsidR="009F54DF" w:rsidRPr="00AB38DA" w:rsidRDefault="00000000">
            <w:pPr>
              <w:pStyle w:val="CellColumn"/>
              <w:jc w:val="left"/>
              <w:rPr>
                <w:rFonts w:cs="Times New Roman"/>
                <w:sz w:val="24"/>
                <w:szCs w:val="24"/>
              </w:rPr>
            </w:pPr>
            <w:r w:rsidRPr="00AB38DA">
              <w:rPr>
                <w:rFonts w:cs="Times New Roman"/>
                <w:sz w:val="24"/>
                <w:szCs w:val="24"/>
              </w:rPr>
              <w:t>Ukupna količina prevezenih putnika u pristaništima u nadležnosti Lučke uprave Sisak</w:t>
            </w:r>
          </w:p>
        </w:tc>
        <w:tc>
          <w:tcPr>
            <w:tcW w:w="1020" w:type="dxa"/>
          </w:tcPr>
          <w:p w14:paraId="3052B086" w14:textId="77777777" w:rsidR="009F54DF" w:rsidRPr="00AB38DA" w:rsidRDefault="00000000">
            <w:pPr>
              <w:pStyle w:val="CellColumn"/>
              <w:jc w:val="right"/>
              <w:rPr>
                <w:rFonts w:cs="Times New Roman"/>
                <w:sz w:val="24"/>
                <w:szCs w:val="24"/>
              </w:rPr>
            </w:pPr>
            <w:r w:rsidRPr="00AB38DA">
              <w:rPr>
                <w:rFonts w:cs="Times New Roman"/>
                <w:sz w:val="24"/>
                <w:szCs w:val="24"/>
              </w:rPr>
              <w:t>putnik</w:t>
            </w:r>
          </w:p>
        </w:tc>
        <w:tc>
          <w:tcPr>
            <w:tcW w:w="1020" w:type="dxa"/>
          </w:tcPr>
          <w:p w14:paraId="6F4AC0C5" w14:textId="77777777" w:rsidR="009F54DF" w:rsidRPr="00AB38DA" w:rsidRDefault="00000000">
            <w:pPr>
              <w:pStyle w:val="CellColumn"/>
              <w:jc w:val="right"/>
              <w:rPr>
                <w:rFonts w:cs="Times New Roman"/>
                <w:sz w:val="24"/>
                <w:szCs w:val="24"/>
              </w:rPr>
            </w:pPr>
            <w:r w:rsidRPr="00AB38DA">
              <w:rPr>
                <w:rFonts w:cs="Times New Roman"/>
                <w:sz w:val="24"/>
                <w:szCs w:val="24"/>
              </w:rPr>
              <w:t>1.400.000</w:t>
            </w:r>
          </w:p>
        </w:tc>
        <w:tc>
          <w:tcPr>
            <w:tcW w:w="918" w:type="dxa"/>
          </w:tcPr>
          <w:p w14:paraId="21D23955" w14:textId="77777777" w:rsidR="009F54DF" w:rsidRPr="00AB38DA" w:rsidRDefault="00000000">
            <w:pPr>
              <w:pStyle w:val="CellColumn"/>
              <w:jc w:val="right"/>
              <w:rPr>
                <w:rFonts w:cs="Times New Roman"/>
                <w:sz w:val="24"/>
                <w:szCs w:val="24"/>
              </w:rPr>
            </w:pPr>
            <w:r w:rsidRPr="00AB38DA">
              <w:rPr>
                <w:rFonts w:cs="Times New Roman"/>
                <w:sz w:val="24"/>
                <w:szCs w:val="24"/>
              </w:rPr>
              <w:t>Lučka uprava Sisak</w:t>
            </w:r>
          </w:p>
        </w:tc>
        <w:tc>
          <w:tcPr>
            <w:tcW w:w="1020" w:type="dxa"/>
          </w:tcPr>
          <w:p w14:paraId="18EE3DC9" w14:textId="77777777" w:rsidR="009F54DF" w:rsidRPr="00AB38DA" w:rsidRDefault="00000000">
            <w:pPr>
              <w:pStyle w:val="CellColumn"/>
              <w:jc w:val="right"/>
              <w:rPr>
                <w:rFonts w:cs="Times New Roman"/>
                <w:sz w:val="24"/>
                <w:szCs w:val="24"/>
              </w:rPr>
            </w:pPr>
            <w:r w:rsidRPr="00AB38DA">
              <w:rPr>
                <w:rFonts w:cs="Times New Roman"/>
                <w:sz w:val="24"/>
                <w:szCs w:val="24"/>
              </w:rPr>
              <w:t>1.410.000</w:t>
            </w:r>
          </w:p>
        </w:tc>
        <w:tc>
          <w:tcPr>
            <w:tcW w:w="1020" w:type="dxa"/>
          </w:tcPr>
          <w:p w14:paraId="06C4FB93" w14:textId="14F8FD44" w:rsidR="009F54DF" w:rsidRPr="00AB38DA" w:rsidRDefault="00000000">
            <w:pPr>
              <w:pStyle w:val="CellColumn"/>
              <w:jc w:val="right"/>
              <w:rPr>
                <w:rFonts w:cs="Times New Roman"/>
                <w:sz w:val="24"/>
                <w:szCs w:val="24"/>
              </w:rPr>
            </w:pPr>
            <w:r w:rsidRPr="00AB38DA">
              <w:rPr>
                <w:rFonts w:cs="Times New Roman"/>
                <w:sz w:val="24"/>
                <w:szCs w:val="24"/>
              </w:rPr>
              <w:t>1</w:t>
            </w:r>
            <w:r w:rsidR="00420354" w:rsidRPr="00AB38DA">
              <w:rPr>
                <w:rFonts w:cs="Times New Roman"/>
                <w:sz w:val="24"/>
                <w:szCs w:val="24"/>
              </w:rPr>
              <w:t>.</w:t>
            </w:r>
            <w:r w:rsidRPr="00AB38DA">
              <w:rPr>
                <w:rFonts w:cs="Times New Roman"/>
                <w:sz w:val="24"/>
                <w:szCs w:val="24"/>
              </w:rPr>
              <w:t>400</w:t>
            </w:r>
            <w:r w:rsidR="00420354" w:rsidRPr="00AB38DA">
              <w:rPr>
                <w:rFonts w:cs="Times New Roman"/>
                <w:sz w:val="24"/>
                <w:szCs w:val="24"/>
              </w:rPr>
              <w:t>.</w:t>
            </w:r>
            <w:r w:rsidRPr="00AB38DA">
              <w:rPr>
                <w:rFonts w:cs="Times New Roman"/>
                <w:sz w:val="24"/>
                <w:szCs w:val="24"/>
              </w:rPr>
              <w:t>972</w:t>
            </w:r>
          </w:p>
        </w:tc>
      </w:tr>
    </w:tbl>
    <w:p w14:paraId="2132307B" w14:textId="77777777" w:rsidR="009F54DF" w:rsidRPr="00AB38DA" w:rsidRDefault="009F54DF">
      <w:pPr>
        <w:jc w:val="left"/>
        <w:rPr>
          <w:sz w:val="24"/>
          <w:szCs w:val="24"/>
        </w:rPr>
      </w:pPr>
    </w:p>
    <w:p w14:paraId="1D7AAD49" w14:textId="77777777" w:rsidR="009F54DF" w:rsidRPr="00AB38DA" w:rsidRDefault="00000000">
      <w:pPr>
        <w:pStyle w:val="Heading4"/>
        <w:rPr>
          <w:sz w:val="24"/>
          <w:szCs w:val="24"/>
        </w:rPr>
      </w:pPr>
      <w:r w:rsidRPr="00AB38DA">
        <w:rPr>
          <w:sz w:val="24"/>
          <w:szCs w:val="24"/>
        </w:rPr>
        <w:lastRenderedPageBreak/>
        <w:t>A931001 ADMINISTRACIJA I UPRAVLJANJE</w:t>
      </w:r>
    </w:p>
    <w:tbl>
      <w:tblPr>
        <w:tblStyle w:val="StilTablice"/>
        <w:tblW w:w="10206" w:type="dxa"/>
        <w:jc w:val="center"/>
        <w:tblLook w:val="04A0" w:firstRow="1" w:lastRow="0" w:firstColumn="1" w:lastColumn="0" w:noHBand="0" w:noVBand="1"/>
      </w:tblPr>
      <w:tblGrid>
        <w:gridCol w:w="2128"/>
        <w:gridCol w:w="1878"/>
        <w:gridCol w:w="1857"/>
        <w:gridCol w:w="1878"/>
        <w:gridCol w:w="1204"/>
        <w:gridCol w:w="1261"/>
      </w:tblGrid>
      <w:tr w:rsidR="009F54DF" w:rsidRPr="00AB38DA" w14:paraId="61C357EE" w14:textId="77777777" w:rsidTr="00DF6F0E">
        <w:trPr>
          <w:jc w:val="center"/>
        </w:trPr>
        <w:tc>
          <w:tcPr>
            <w:tcW w:w="1793" w:type="dxa"/>
            <w:shd w:val="clear" w:color="auto" w:fill="B5C0D8"/>
          </w:tcPr>
          <w:p w14:paraId="065691C1" w14:textId="77777777" w:rsidR="009F54DF" w:rsidRPr="00AB38DA" w:rsidRDefault="00000000">
            <w:pPr>
              <w:pStyle w:val="CellHeader"/>
              <w:jc w:val="center"/>
              <w:rPr>
                <w:rFonts w:cs="Times New Roman"/>
                <w:sz w:val="24"/>
                <w:szCs w:val="24"/>
              </w:rPr>
            </w:pPr>
            <w:r w:rsidRPr="00AB38DA">
              <w:rPr>
                <w:rFonts w:cs="Times New Roman"/>
                <w:sz w:val="24"/>
                <w:szCs w:val="24"/>
              </w:rPr>
              <w:t>Naziv aktivnosti</w:t>
            </w:r>
          </w:p>
        </w:tc>
        <w:tc>
          <w:tcPr>
            <w:tcW w:w="1997" w:type="dxa"/>
            <w:shd w:val="clear" w:color="auto" w:fill="B5C0D8"/>
          </w:tcPr>
          <w:p w14:paraId="4222507C" w14:textId="77777777" w:rsidR="009F54DF" w:rsidRPr="00AB38DA" w:rsidRDefault="00000000">
            <w:pPr>
              <w:pStyle w:val="CellHeader"/>
              <w:jc w:val="center"/>
              <w:rPr>
                <w:rFonts w:cs="Times New Roman"/>
                <w:sz w:val="24"/>
                <w:szCs w:val="24"/>
              </w:rPr>
            </w:pPr>
            <w:r w:rsidRPr="00AB38DA">
              <w:rPr>
                <w:rFonts w:cs="Times New Roman"/>
                <w:sz w:val="24"/>
                <w:szCs w:val="24"/>
              </w:rPr>
              <w:t>Izvršenje 2024. (eur)</w:t>
            </w:r>
          </w:p>
        </w:tc>
        <w:tc>
          <w:tcPr>
            <w:tcW w:w="1987" w:type="dxa"/>
            <w:shd w:val="clear" w:color="auto" w:fill="B5C0D8"/>
          </w:tcPr>
          <w:p w14:paraId="397687CE" w14:textId="77777777" w:rsidR="009F54DF" w:rsidRPr="00AB38DA" w:rsidRDefault="00000000">
            <w:pPr>
              <w:pStyle w:val="CellHeader"/>
              <w:jc w:val="center"/>
              <w:rPr>
                <w:rFonts w:cs="Times New Roman"/>
                <w:sz w:val="24"/>
                <w:szCs w:val="24"/>
              </w:rPr>
            </w:pPr>
            <w:r w:rsidRPr="00AB38DA">
              <w:rPr>
                <w:rFonts w:cs="Times New Roman"/>
                <w:sz w:val="24"/>
                <w:szCs w:val="24"/>
              </w:rPr>
              <w:t>Plan 2025. (eur)</w:t>
            </w:r>
          </w:p>
        </w:tc>
        <w:tc>
          <w:tcPr>
            <w:tcW w:w="1997" w:type="dxa"/>
            <w:shd w:val="clear" w:color="auto" w:fill="B5C0D8"/>
          </w:tcPr>
          <w:p w14:paraId="1344ACC0" w14:textId="77777777" w:rsidR="009F54DF" w:rsidRPr="00AB38DA" w:rsidRDefault="00000000">
            <w:pPr>
              <w:pStyle w:val="CellHeader"/>
              <w:jc w:val="center"/>
              <w:rPr>
                <w:rFonts w:cs="Times New Roman"/>
                <w:sz w:val="24"/>
                <w:szCs w:val="24"/>
              </w:rPr>
            </w:pPr>
            <w:r w:rsidRPr="00AB38DA">
              <w:rPr>
                <w:rFonts w:cs="Times New Roman"/>
                <w:sz w:val="24"/>
                <w:szCs w:val="24"/>
              </w:rPr>
              <w:t>Izvršenje 2025. (eur)</w:t>
            </w:r>
          </w:p>
        </w:tc>
        <w:tc>
          <w:tcPr>
            <w:tcW w:w="1214" w:type="dxa"/>
            <w:shd w:val="clear" w:color="auto" w:fill="B5C0D8"/>
          </w:tcPr>
          <w:p w14:paraId="4CA3FD18" w14:textId="77777777" w:rsidR="009F54DF" w:rsidRPr="00AB38DA" w:rsidRDefault="00000000">
            <w:pPr>
              <w:pStyle w:val="CellHeader"/>
              <w:jc w:val="center"/>
              <w:rPr>
                <w:rFonts w:cs="Times New Roman"/>
                <w:sz w:val="24"/>
                <w:szCs w:val="24"/>
              </w:rPr>
            </w:pPr>
            <w:r w:rsidRPr="00AB38DA">
              <w:rPr>
                <w:rFonts w:cs="Times New Roman"/>
                <w:sz w:val="24"/>
                <w:szCs w:val="24"/>
              </w:rPr>
              <w:t>Indeks izvršenje 2025./plan 2025.</w:t>
            </w:r>
          </w:p>
        </w:tc>
        <w:tc>
          <w:tcPr>
            <w:tcW w:w="1218" w:type="dxa"/>
            <w:shd w:val="clear" w:color="auto" w:fill="B5C0D8"/>
          </w:tcPr>
          <w:p w14:paraId="4A31562A" w14:textId="77777777" w:rsidR="009F54DF" w:rsidRPr="00AB38DA" w:rsidRDefault="00000000">
            <w:pPr>
              <w:pStyle w:val="CellHeader"/>
              <w:jc w:val="center"/>
              <w:rPr>
                <w:rFonts w:cs="Times New Roman"/>
                <w:sz w:val="24"/>
                <w:szCs w:val="24"/>
              </w:rPr>
            </w:pPr>
            <w:r w:rsidRPr="00AB38DA">
              <w:rPr>
                <w:rFonts w:cs="Times New Roman"/>
                <w:sz w:val="24"/>
                <w:szCs w:val="24"/>
              </w:rPr>
              <w:t>Indeks izvršenje 2025./2024.</w:t>
            </w:r>
          </w:p>
        </w:tc>
      </w:tr>
      <w:tr w:rsidR="00DF6F0E" w:rsidRPr="00AB38DA" w14:paraId="07EF3FDD" w14:textId="77777777" w:rsidTr="00DF6F0E">
        <w:trPr>
          <w:jc w:val="center"/>
        </w:trPr>
        <w:tc>
          <w:tcPr>
            <w:tcW w:w="1793" w:type="dxa"/>
          </w:tcPr>
          <w:p w14:paraId="1E113B07" w14:textId="77777777" w:rsidR="00DF6F0E" w:rsidRPr="00AB38DA" w:rsidRDefault="00DF6F0E" w:rsidP="00DF6F0E">
            <w:pPr>
              <w:pStyle w:val="CellColumn"/>
              <w:jc w:val="left"/>
              <w:rPr>
                <w:rFonts w:cs="Times New Roman"/>
                <w:sz w:val="24"/>
                <w:szCs w:val="24"/>
              </w:rPr>
            </w:pPr>
            <w:r w:rsidRPr="00AB38DA">
              <w:rPr>
                <w:rFonts w:cs="Times New Roman"/>
                <w:sz w:val="24"/>
                <w:szCs w:val="24"/>
              </w:rPr>
              <w:t>A931001-ADMINISTRACIJA I UPRAVLJANJE</w:t>
            </w:r>
          </w:p>
        </w:tc>
        <w:tc>
          <w:tcPr>
            <w:tcW w:w="1997" w:type="dxa"/>
          </w:tcPr>
          <w:p w14:paraId="16122ECC" w14:textId="416C4C88" w:rsidR="00DF6F0E" w:rsidRPr="00AB38DA" w:rsidRDefault="00DF6F0E" w:rsidP="00DF6F0E">
            <w:pPr>
              <w:pStyle w:val="CellColumn"/>
              <w:jc w:val="right"/>
              <w:rPr>
                <w:rFonts w:cs="Times New Roman"/>
                <w:sz w:val="24"/>
                <w:szCs w:val="24"/>
              </w:rPr>
            </w:pPr>
            <w:r w:rsidRPr="00AB38DA">
              <w:rPr>
                <w:rFonts w:cs="Times New Roman"/>
                <w:sz w:val="24"/>
                <w:szCs w:val="24"/>
              </w:rPr>
              <w:t>302.363</w:t>
            </w:r>
          </w:p>
        </w:tc>
        <w:tc>
          <w:tcPr>
            <w:tcW w:w="1987" w:type="dxa"/>
          </w:tcPr>
          <w:p w14:paraId="529A04E0" w14:textId="6A95A2FD" w:rsidR="00DF6F0E" w:rsidRPr="00AB38DA" w:rsidRDefault="00DF6F0E" w:rsidP="00DF6F0E">
            <w:pPr>
              <w:pStyle w:val="CellColumn"/>
              <w:jc w:val="right"/>
              <w:rPr>
                <w:rFonts w:cs="Times New Roman"/>
                <w:sz w:val="24"/>
                <w:szCs w:val="24"/>
              </w:rPr>
            </w:pPr>
            <w:r w:rsidRPr="00AB38DA">
              <w:rPr>
                <w:rFonts w:cs="Times New Roman"/>
                <w:sz w:val="24"/>
                <w:szCs w:val="24"/>
              </w:rPr>
              <w:t>465.630</w:t>
            </w:r>
          </w:p>
        </w:tc>
        <w:tc>
          <w:tcPr>
            <w:tcW w:w="1997" w:type="dxa"/>
          </w:tcPr>
          <w:p w14:paraId="79B9EB20" w14:textId="0E827F51" w:rsidR="00DF6F0E" w:rsidRPr="00AB38DA" w:rsidRDefault="00DF6F0E" w:rsidP="00DF6F0E">
            <w:pPr>
              <w:pStyle w:val="CellColumn"/>
              <w:jc w:val="right"/>
              <w:rPr>
                <w:rFonts w:cs="Times New Roman"/>
                <w:sz w:val="24"/>
                <w:szCs w:val="24"/>
              </w:rPr>
            </w:pPr>
            <w:r w:rsidRPr="00AB38DA">
              <w:rPr>
                <w:rFonts w:cs="Times New Roman"/>
                <w:sz w:val="24"/>
                <w:szCs w:val="24"/>
              </w:rPr>
              <w:t>342.732</w:t>
            </w:r>
          </w:p>
        </w:tc>
        <w:tc>
          <w:tcPr>
            <w:tcW w:w="1214" w:type="dxa"/>
          </w:tcPr>
          <w:p w14:paraId="6C7E1E16" w14:textId="23008443" w:rsidR="00DF6F0E" w:rsidRPr="00AB38DA" w:rsidRDefault="00DF6F0E" w:rsidP="00DF6F0E">
            <w:pPr>
              <w:pStyle w:val="CellColumn"/>
              <w:jc w:val="right"/>
              <w:rPr>
                <w:rFonts w:cs="Times New Roman"/>
                <w:sz w:val="24"/>
                <w:szCs w:val="24"/>
              </w:rPr>
            </w:pPr>
            <w:r w:rsidRPr="00AB38DA">
              <w:rPr>
                <w:rFonts w:cs="Times New Roman"/>
                <w:sz w:val="24"/>
                <w:szCs w:val="24"/>
              </w:rPr>
              <w:t>86,47</w:t>
            </w:r>
          </w:p>
        </w:tc>
        <w:tc>
          <w:tcPr>
            <w:tcW w:w="1218" w:type="dxa"/>
          </w:tcPr>
          <w:p w14:paraId="3D552EC0" w14:textId="2C1BE7CE" w:rsidR="00DF6F0E" w:rsidRPr="00AB38DA" w:rsidRDefault="00DF6F0E" w:rsidP="00DF6F0E">
            <w:pPr>
              <w:pStyle w:val="CellColumn"/>
              <w:jc w:val="right"/>
              <w:rPr>
                <w:rFonts w:cs="Times New Roman"/>
                <w:sz w:val="24"/>
                <w:szCs w:val="24"/>
              </w:rPr>
            </w:pPr>
            <w:r w:rsidRPr="00AB38DA">
              <w:rPr>
                <w:rFonts w:cs="Times New Roman"/>
                <w:sz w:val="24"/>
                <w:szCs w:val="24"/>
              </w:rPr>
              <w:t>113,35</w:t>
            </w:r>
          </w:p>
        </w:tc>
      </w:tr>
    </w:tbl>
    <w:p w14:paraId="0071B909" w14:textId="77777777" w:rsidR="009F54DF" w:rsidRPr="00AB38DA" w:rsidRDefault="009F54DF">
      <w:pPr>
        <w:jc w:val="left"/>
        <w:rPr>
          <w:sz w:val="24"/>
          <w:szCs w:val="24"/>
        </w:rPr>
      </w:pPr>
    </w:p>
    <w:p w14:paraId="25D44724" w14:textId="77777777" w:rsidR="009F54DF" w:rsidRPr="00AB38DA" w:rsidRDefault="00000000">
      <w:pPr>
        <w:pStyle w:val="Heading8"/>
        <w:jc w:val="left"/>
        <w:rPr>
          <w:sz w:val="24"/>
          <w:szCs w:val="24"/>
        </w:rPr>
      </w:pPr>
      <w:r w:rsidRPr="00AB38DA">
        <w:rPr>
          <w:sz w:val="24"/>
          <w:szCs w:val="24"/>
        </w:rPr>
        <w:t>Zakonske i druge pravne osnove</w:t>
      </w:r>
    </w:p>
    <w:p w14:paraId="5BBA04BF" w14:textId="77777777" w:rsidR="009F54DF" w:rsidRPr="00AB38DA" w:rsidRDefault="00000000">
      <w:pPr>
        <w:rPr>
          <w:sz w:val="24"/>
          <w:szCs w:val="24"/>
        </w:rPr>
      </w:pPr>
      <w:r w:rsidRPr="00AB38DA">
        <w:rPr>
          <w:sz w:val="24"/>
          <w:szCs w:val="24"/>
        </w:rPr>
        <w:t xml:space="preserve">- Zakon o plovidbi i lukama unutarnjih voda </w:t>
      </w:r>
    </w:p>
    <w:p w14:paraId="0A550279" w14:textId="21AAE444" w:rsidR="009F54DF" w:rsidRPr="00AB38DA" w:rsidRDefault="00000000">
      <w:pPr>
        <w:rPr>
          <w:sz w:val="24"/>
          <w:szCs w:val="24"/>
        </w:rPr>
      </w:pPr>
      <w:r w:rsidRPr="00AB38DA">
        <w:rPr>
          <w:sz w:val="24"/>
          <w:szCs w:val="24"/>
        </w:rPr>
        <w:t xml:space="preserve">- </w:t>
      </w:r>
      <w:r w:rsidR="00E9037B" w:rsidRPr="001A572F">
        <w:t>Uredba o lukama i zimovnicima unutarnjih voda</w:t>
      </w:r>
    </w:p>
    <w:p w14:paraId="7A4C871D" w14:textId="77777777" w:rsidR="009F54DF" w:rsidRPr="00AB38DA" w:rsidRDefault="00000000">
      <w:pPr>
        <w:rPr>
          <w:sz w:val="24"/>
          <w:szCs w:val="24"/>
        </w:rPr>
      </w:pPr>
      <w:r w:rsidRPr="00AB38DA">
        <w:rPr>
          <w:sz w:val="24"/>
          <w:szCs w:val="24"/>
        </w:rPr>
        <w:t xml:space="preserve">- Strategija prometnog razvoja Republike Hrvatske 2017. -2030., točke 2.7. i 5.6   </w:t>
      </w:r>
    </w:p>
    <w:p w14:paraId="64E85559" w14:textId="77777777" w:rsidR="009F54DF" w:rsidRPr="00AB38DA" w:rsidRDefault="00000000">
      <w:pPr>
        <w:rPr>
          <w:sz w:val="24"/>
          <w:szCs w:val="24"/>
        </w:rPr>
      </w:pPr>
      <w:r w:rsidRPr="00AB38DA">
        <w:rPr>
          <w:sz w:val="24"/>
          <w:szCs w:val="24"/>
        </w:rPr>
        <w:t xml:space="preserve">- Strategija razvitka riječnog prometa u Republici Hrvatskoj za razdoblje od 2022. do 2032. </w:t>
      </w:r>
    </w:p>
    <w:p w14:paraId="401F343D" w14:textId="77777777" w:rsidR="009F54DF" w:rsidRPr="00AB38DA" w:rsidRDefault="00000000">
      <w:pPr>
        <w:rPr>
          <w:sz w:val="24"/>
          <w:szCs w:val="24"/>
        </w:rPr>
      </w:pPr>
      <w:r w:rsidRPr="00AB38DA">
        <w:rPr>
          <w:sz w:val="24"/>
          <w:szCs w:val="24"/>
        </w:rPr>
        <w:t xml:space="preserve">- Srednjoročni plan razvitka vodnih putova, luka i pristaništa Republike Hrvatske za razdoblje od   2022. do 2031. godine </w:t>
      </w:r>
    </w:p>
    <w:p w14:paraId="0823DA23" w14:textId="77777777" w:rsidR="009F54DF" w:rsidRPr="00AB38DA" w:rsidRDefault="00000000">
      <w:pPr>
        <w:rPr>
          <w:sz w:val="24"/>
          <w:szCs w:val="24"/>
        </w:rPr>
      </w:pPr>
      <w:r w:rsidRPr="00AB38DA">
        <w:rPr>
          <w:sz w:val="24"/>
          <w:szCs w:val="24"/>
        </w:rPr>
        <w:t>- Zakon o proračunu</w:t>
      </w:r>
    </w:p>
    <w:p w14:paraId="62741940" w14:textId="77777777" w:rsidR="009F54DF" w:rsidRPr="00AB38DA" w:rsidRDefault="00000000">
      <w:pPr>
        <w:pStyle w:val="Heading8"/>
        <w:jc w:val="left"/>
        <w:rPr>
          <w:sz w:val="24"/>
          <w:szCs w:val="24"/>
        </w:rPr>
      </w:pPr>
      <w:r w:rsidRPr="00AB38DA">
        <w:rPr>
          <w:sz w:val="24"/>
          <w:szCs w:val="24"/>
        </w:rPr>
        <w:t>Opis aktivnosti</w:t>
      </w:r>
    </w:p>
    <w:p w14:paraId="67DA147B" w14:textId="3450A540" w:rsidR="00420354" w:rsidRPr="00AB38DA" w:rsidRDefault="00000000">
      <w:pPr>
        <w:rPr>
          <w:sz w:val="24"/>
          <w:szCs w:val="24"/>
        </w:rPr>
      </w:pPr>
      <w:r w:rsidRPr="00AB38DA">
        <w:rPr>
          <w:sz w:val="24"/>
          <w:szCs w:val="24"/>
        </w:rPr>
        <w:t>Ova aktivnost provodi se svake godine, a planirana sredstva utrošena su za pokriće troškova redovnog rada Javne ustanove Lučke uprave Sisak. U 2025. godini financijska sredstva u okviru ove aktivnosti utrošena su na neto plaće, doprinose na i iz plaće, poreze i prireze, plaće u naravi te ostale rashode za 6 zaposlenih, za materijalne rashode koji se odnose na troškove službenih putovanja, naknade za prijevoz, naknade članovima upravnog vijeća Lučke uprave Sisak, naknade drugim osobama izvan radnog odnosa, rashode za energiju, uredski materijal, sitni inventar, premije osiguranja, reprezentaciju, rashode za usluge u koje su svrstani rashodi telefona, pošte, prijevoza, usluge tekućeg i investicijskog održavanja, komunalne usluge, intelektualne i osobne usluge, računalne usluge te ostale usluge, za financijske rashode koji se odnose na rashode za platni promet i naknade banke i konačno, za nabavu računala i računalne opreme potrebne radi što boljeg i kvalitetnijeg čuvanja podataka, istraživanja i upravljanja projektima.</w:t>
      </w:r>
    </w:p>
    <w:p w14:paraId="7AA28249" w14:textId="476D2135" w:rsidR="008F1709" w:rsidRPr="00AB38DA" w:rsidRDefault="008F1709">
      <w:pPr>
        <w:rPr>
          <w:sz w:val="24"/>
          <w:szCs w:val="24"/>
        </w:rPr>
      </w:pPr>
      <w:r w:rsidRPr="00AB38DA">
        <w:rPr>
          <w:sz w:val="24"/>
          <w:szCs w:val="24"/>
        </w:rPr>
        <w:t>Indeks izvršenja aktivnosti A931001 Administracija i održavanje nešto je niži od 90% jer je dio sredstava koja su planirana za trošak plaća djelatnika utrošen iz vlastitih prihoda Lučke uprave Sisak.</w:t>
      </w:r>
    </w:p>
    <w:p w14:paraId="7323C04F" w14:textId="77777777" w:rsidR="009F54DF" w:rsidRPr="00AB38DA" w:rsidRDefault="00000000">
      <w:pPr>
        <w:pStyle w:val="Heading4"/>
        <w:rPr>
          <w:sz w:val="24"/>
          <w:szCs w:val="24"/>
        </w:rPr>
      </w:pPr>
      <w:r w:rsidRPr="00AB38DA">
        <w:rPr>
          <w:sz w:val="24"/>
          <w:szCs w:val="24"/>
        </w:rPr>
        <w:t>A931002 GRADNJA I ODRŽAVANJE</w:t>
      </w:r>
    </w:p>
    <w:tbl>
      <w:tblPr>
        <w:tblStyle w:val="StilTablice"/>
        <w:tblW w:w="10206" w:type="dxa"/>
        <w:jc w:val="center"/>
        <w:tblLook w:val="04A0" w:firstRow="1" w:lastRow="0" w:firstColumn="1" w:lastColumn="0" w:noHBand="0" w:noVBand="1"/>
      </w:tblPr>
      <w:tblGrid>
        <w:gridCol w:w="1701"/>
        <w:gridCol w:w="2007"/>
        <w:gridCol w:w="2008"/>
        <w:gridCol w:w="2008"/>
        <w:gridCol w:w="1221"/>
        <w:gridCol w:w="1261"/>
      </w:tblGrid>
      <w:tr w:rsidR="009F54DF" w:rsidRPr="00AB38DA" w14:paraId="6F9E0114" w14:textId="77777777" w:rsidTr="00DF6F0E">
        <w:trPr>
          <w:jc w:val="center"/>
        </w:trPr>
        <w:tc>
          <w:tcPr>
            <w:tcW w:w="1632" w:type="dxa"/>
            <w:shd w:val="clear" w:color="auto" w:fill="B5C0D8"/>
          </w:tcPr>
          <w:p w14:paraId="3D957AF4" w14:textId="77777777" w:rsidR="009F54DF" w:rsidRPr="00AB38DA" w:rsidRDefault="00000000">
            <w:pPr>
              <w:pStyle w:val="CellHeader"/>
              <w:jc w:val="center"/>
              <w:rPr>
                <w:rFonts w:cs="Times New Roman"/>
                <w:sz w:val="24"/>
                <w:szCs w:val="24"/>
              </w:rPr>
            </w:pPr>
            <w:r w:rsidRPr="00AB38DA">
              <w:rPr>
                <w:rFonts w:cs="Times New Roman"/>
                <w:sz w:val="24"/>
                <w:szCs w:val="24"/>
              </w:rPr>
              <w:t>Naziv aktivnosti</w:t>
            </w:r>
          </w:p>
        </w:tc>
        <w:tc>
          <w:tcPr>
            <w:tcW w:w="2042" w:type="dxa"/>
            <w:shd w:val="clear" w:color="auto" w:fill="B5C0D8"/>
          </w:tcPr>
          <w:p w14:paraId="2A9ABDFB" w14:textId="77777777" w:rsidR="009F54DF" w:rsidRPr="00AB38DA" w:rsidRDefault="00000000">
            <w:pPr>
              <w:pStyle w:val="CellHeader"/>
              <w:jc w:val="center"/>
              <w:rPr>
                <w:rFonts w:cs="Times New Roman"/>
                <w:sz w:val="24"/>
                <w:szCs w:val="24"/>
              </w:rPr>
            </w:pPr>
            <w:r w:rsidRPr="00AB38DA">
              <w:rPr>
                <w:rFonts w:cs="Times New Roman"/>
                <w:sz w:val="24"/>
                <w:szCs w:val="24"/>
              </w:rPr>
              <w:t>Izvršenje 2024. (eur)</w:t>
            </w:r>
          </w:p>
        </w:tc>
        <w:tc>
          <w:tcPr>
            <w:tcW w:w="2042" w:type="dxa"/>
            <w:shd w:val="clear" w:color="auto" w:fill="B5C0D8"/>
          </w:tcPr>
          <w:p w14:paraId="0D7709C6" w14:textId="77777777" w:rsidR="009F54DF" w:rsidRPr="00AB38DA" w:rsidRDefault="00000000">
            <w:pPr>
              <w:pStyle w:val="CellHeader"/>
              <w:jc w:val="center"/>
              <w:rPr>
                <w:rFonts w:cs="Times New Roman"/>
                <w:sz w:val="24"/>
                <w:szCs w:val="24"/>
              </w:rPr>
            </w:pPr>
            <w:r w:rsidRPr="00AB38DA">
              <w:rPr>
                <w:rFonts w:cs="Times New Roman"/>
                <w:sz w:val="24"/>
                <w:szCs w:val="24"/>
              </w:rPr>
              <w:t>Plan 2025. (eur)</w:t>
            </w:r>
          </w:p>
        </w:tc>
        <w:tc>
          <w:tcPr>
            <w:tcW w:w="2042" w:type="dxa"/>
            <w:shd w:val="clear" w:color="auto" w:fill="B5C0D8"/>
          </w:tcPr>
          <w:p w14:paraId="2ABE9E43" w14:textId="77777777" w:rsidR="009F54DF" w:rsidRPr="00AB38DA" w:rsidRDefault="00000000">
            <w:pPr>
              <w:pStyle w:val="CellHeader"/>
              <w:jc w:val="center"/>
              <w:rPr>
                <w:rFonts w:cs="Times New Roman"/>
                <w:sz w:val="24"/>
                <w:szCs w:val="24"/>
              </w:rPr>
            </w:pPr>
            <w:r w:rsidRPr="00AB38DA">
              <w:rPr>
                <w:rFonts w:cs="Times New Roman"/>
                <w:sz w:val="24"/>
                <w:szCs w:val="24"/>
              </w:rPr>
              <w:t>Izvršenje 2025. (eur)</w:t>
            </w:r>
          </w:p>
        </w:tc>
        <w:tc>
          <w:tcPr>
            <w:tcW w:w="1224" w:type="dxa"/>
            <w:shd w:val="clear" w:color="auto" w:fill="B5C0D8"/>
          </w:tcPr>
          <w:p w14:paraId="6DCA460E" w14:textId="77777777" w:rsidR="009F54DF" w:rsidRPr="00AB38DA" w:rsidRDefault="00000000">
            <w:pPr>
              <w:pStyle w:val="CellHeader"/>
              <w:jc w:val="center"/>
              <w:rPr>
                <w:rFonts w:cs="Times New Roman"/>
                <w:sz w:val="24"/>
                <w:szCs w:val="24"/>
              </w:rPr>
            </w:pPr>
            <w:r w:rsidRPr="00AB38DA">
              <w:rPr>
                <w:rFonts w:cs="Times New Roman"/>
                <w:sz w:val="24"/>
                <w:szCs w:val="24"/>
              </w:rPr>
              <w:t>Indeks izvršenje 2025./plan 2025.</w:t>
            </w:r>
          </w:p>
        </w:tc>
        <w:tc>
          <w:tcPr>
            <w:tcW w:w="1224" w:type="dxa"/>
            <w:shd w:val="clear" w:color="auto" w:fill="B5C0D8"/>
          </w:tcPr>
          <w:p w14:paraId="03EE7F80" w14:textId="77777777" w:rsidR="009F54DF" w:rsidRPr="00AB38DA" w:rsidRDefault="00000000">
            <w:pPr>
              <w:pStyle w:val="CellHeader"/>
              <w:jc w:val="center"/>
              <w:rPr>
                <w:rFonts w:cs="Times New Roman"/>
                <w:sz w:val="24"/>
                <w:szCs w:val="24"/>
              </w:rPr>
            </w:pPr>
            <w:r w:rsidRPr="00AB38DA">
              <w:rPr>
                <w:rFonts w:cs="Times New Roman"/>
                <w:sz w:val="24"/>
                <w:szCs w:val="24"/>
              </w:rPr>
              <w:t>Indeks izvršenje 2025./2024.</w:t>
            </w:r>
          </w:p>
        </w:tc>
      </w:tr>
      <w:tr w:rsidR="00DF6F0E" w:rsidRPr="00AB38DA" w14:paraId="1E0D21CD" w14:textId="77777777" w:rsidTr="00DF6F0E">
        <w:trPr>
          <w:jc w:val="center"/>
        </w:trPr>
        <w:tc>
          <w:tcPr>
            <w:tcW w:w="1632" w:type="dxa"/>
          </w:tcPr>
          <w:p w14:paraId="1B9C4338" w14:textId="77777777" w:rsidR="00DF6F0E" w:rsidRPr="00AB38DA" w:rsidRDefault="00DF6F0E" w:rsidP="00DF6F0E">
            <w:pPr>
              <w:pStyle w:val="CellColumn"/>
              <w:jc w:val="left"/>
              <w:rPr>
                <w:rFonts w:cs="Times New Roman"/>
                <w:sz w:val="24"/>
                <w:szCs w:val="24"/>
              </w:rPr>
            </w:pPr>
            <w:r w:rsidRPr="00AB38DA">
              <w:rPr>
                <w:rFonts w:cs="Times New Roman"/>
                <w:sz w:val="24"/>
                <w:szCs w:val="24"/>
              </w:rPr>
              <w:t>A931002-GRADNJA I ODRŽAVANJE</w:t>
            </w:r>
          </w:p>
        </w:tc>
        <w:tc>
          <w:tcPr>
            <w:tcW w:w="2042" w:type="dxa"/>
          </w:tcPr>
          <w:p w14:paraId="54CB84FF" w14:textId="2F64C8A3" w:rsidR="00DF6F0E" w:rsidRPr="00AB38DA" w:rsidRDefault="00DF6F0E" w:rsidP="00DF6F0E">
            <w:pPr>
              <w:pStyle w:val="CellColumn"/>
              <w:jc w:val="right"/>
              <w:rPr>
                <w:rFonts w:cs="Times New Roman"/>
                <w:sz w:val="24"/>
                <w:szCs w:val="24"/>
              </w:rPr>
            </w:pPr>
            <w:r w:rsidRPr="00AB38DA">
              <w:rPr>
                <w:rFonts w:cs="Times New Roman"/>
                <w:sz w:val="24"/>
                <w:szCs w:val="24"/>
              </w:rPr>
              <w:t>4.519.578</w:t>
            </w:r>
          </w:p>
        </w:tc>
        <w:tc>
          <w:tcPr>
            <w:tcW w:w="2042" w:type="dxa"/>
          </w:tcPr>
          <w:p w14:paraId="1EBA19AF" w14:textId="5501085D" w:rsidR="00DF6F0E" w:rsidRPr="00AB38DA" w:rsidRDefault="00DF6F0E" w:rsidP="00DF6F0E">
            <w:pPr>
              <w:pStyle w:val="CellColumn"/>
              <w:jc w:val="right"/>
              <w:rPr>
                <w:rFonts w:cs="Times New Roman"/>
                <w:sz w:val="24"/>
                <w:szCs w:val="24"/>
              </w:rPr>
            </w:pPr>
            <w:r w:rsidRPr="00AB38DA">
              <w:rPr>
                <w:rFonts w:cs="Times New Roman"/>
                <w:sz w:val="24"/>
                <w:szCs w:val="24"/>
              </w:rPr>
              <w:t>3.416.092</w:t>
            </w:r>
          </w:p>
        </w:tc>
        <w:tc>
          <w:tcPr>
            <w:tcW w:w="2042" w:type="dxa"/>
          </w:tcPr>
          <w:p w14:paraId="64780964" w14:textId="6542263F" w:rsidR="00DF6F0E" w:rsidRPr="00AB38DA" w:rsidRDefault="00DF6F0E" w:rsidP="00DF6F0E">
            <w:pPr>
              <w:pStyle w:val="CellColumn"/>
              <w:jc w:val="right"/>
              <w:rPr>
                <w:rFonts w:cs="Times New Roman"/>
                <w:sz w:val="24"/>
                <w:szCs w:val="24"/>
              </w:rPr>
            </w:pPr>
            <w:r w:rsidRPr="00AB38DA">
              <w:rPr>
                <w:rFonts w:cs="Times New Roman"/>
                <w:sz w:val="24"/>
                <w:szCs w:val="24"/>
              </w:rPr>
              <w:t>2.621.845</w:t>
            </w:r>
          </w:p>
        </w:tc>
        <w:tc>
          <w:tcPr>
            <w:tcW w:w="1224" w:type="dxa"/>
          </w:tcPr>
          <w:p w14:paraId="6C0D31B8" w14:textId="73271EA2" w:rsidR="00DF6F0E" w:rsidRPr="00AB38DA" w:rsidRDefault="00DF6F0E" w:rsidP="00DF6F0E">
            <w:pPr>
              <w:pStyle w:val="CellColumn"/>
              <w:jc w:val="right"/>
              <w:rPr>
                <w:rFonts w:cs="Times New Roman"/>
                <w:sz w:val="24"/>
                <w:szCs w:val="24"/>
              </w:rPr>
            </w:pPr>
            <w:r w:rsidRPr="00AB38DA">
              <w:rPr>
                <w:rFonts w:cs="Times New Roman"/>
                <w:sz w:val="24"/>
                <w:szCs w:val="24"/>
              </w:rPr>
              <w:t>96,11</w:t>
            </w:r>
          </w:p>
        </w:tc>
        <w:tc>
          <w:tcPr>
            <w:tcW w:w="1224" w:type="dxa"/>
          </w:tcPr>
          <w:p w14:paraId="51394B5D" w14:textId="2E08B7F0" w:rsidR="00DF6F0E" w:rsidRPr="00AB38DA" w:rsidRDefault="00DF6F0E" w:rsidP="00DF6F0E">
            <w:pPr>
              <w:pStyle w:val="CellColumn"/>
              <w:jc w:val="right"/>
              <w:rPr>
                <w:rFonts w:cs="Times New Roman"/>
                <w:sz w:val="24"/>
                <w:szCs w:val="24"/>
              </w:rPr>
            </w:pPr>
            <w:r w:rsidRPr="00AB38DA">
              <w:rPr>
                <w:rFonts w:cs="Times New Roman"/>
                <w:sz w:val="24"/>
                <w:szCs w:val="24"/>
              </w:rPr>
              <w:t>58,01</w:t>
            </w:r>
          </w:p>
        </w:tc>
      </w:tr>
    </w:tbl>
    <w:p w14:paraId="78D68857" w14:textId="77777777" w:rsidR="009F54DF" w:rsidRPr="00AB38DA" w:rsidRDefault="009F54DF">
      <w:pPr>
        <w:jc w:val="left"/>
        <w:rPr>
          <w:sz w:val="24"/>
          <w:szCs w:val="24"/>
        </w:rPr>
      </w:pPr>
    </w:p>
    <w:p w14:paraId="59396DC3" w14:textId="77777777" w:rsidR="009F54DF" w:rsidRPr="00AB38DA" w:rsidRDefault="00000000">
      <w:pPr>
        <w:pStyle w:val="Heading8"/>
        <w:jc w:val="left"/>
        <w:rPr>
          <w:sz w:val="24"/>
          <w:szCs w:val="24"/>
        </w:rPr>
      </w:pPr>
      <w:r w:rsidRPr="00AB38DA">
        <w:rPr>
          <w:sz w:val="24"/>
          <w:szCs w:val="24"/>
        </w:rPr>
        <w:t>Zakonske i druge pravne osnove</w:t>
      </w:r>
    </w:p>
    <w:p w14:paraId="0B34AAEF" w14:textId="77777777" w:rsidR="009F54DF" w:rsidRPr="00AB38DA" w:rsidRDefault="00000000">
      <w:pPr>
        <w:rPr>
          <w:sz w:val="24"/>
          <w:szCs w:val="24"/>
        </w:rPr>
      </w:pPr>
      <w:r w:rsidRPr="00AB38DA">
        <w:rPr>
          <w:sz w:val="24"/>
          <w:szCs w:val="24"/>
        </w:rPr>
        <w:t xml:space="preserve">- Zakon o plovidbi i lukama unutarnjih voda </w:t>
      </w:r>
    </w:p>
    <w:p w14:paraId="7E8E452C" w14:textId="6519044B" w:rsidR="009F54DF" w:rsidRPr="00AB38DA" w:rsidRDefault="00000000">
      <w:pPr>
        <w:rPr>
          <w:sz w:val="24"/>
          <w:szCs w:val="24"/>
        </w:rPr>
      </w:pPr>
      <w:r w:rsidRPr="00AB38DA">
        <w:rPr>
          <w:sz w:val="24"/>
          <w:szCs w:val="24"/>
        </w:rPr>
        <w:t xml:space="preserve">- </w:t>
      </w:r>
      <w:r w:rsidR="00E9037B" w:rsidRPr="001A572F">
        <w:t>Uredba o lukama i zimovnicima unutarnjih voda</w:t>
      </w:r>
    </w:p>
    <w:p w14:paraId="3300AB96" w14:textId="77777777" w:rsidR="009F54DF" w:rsidRPr="00AB38DA" w:rsidRDefault="00000000">
      <w:pPr>
        <w:rPr>
          <w:sz w:val="24"/>
          <w:szCs w:val="24"/>
        </w:rPr>
      </w:pPr>
      <w:r w:rsidRPr="00AB38DA">
        <w:rPr>
          <w:sz w:val="24"/>
          <w:szCs w:val="24"/>
        </w:rPr>
        <w:t xml:space="preserve">- Strategija prometnog razvoja Republike Hrvatske 2017. -2030., točke 2.7. i 5.6   </w:t>
      </w:r>
    </w:p>
    <w:p w14:paraId="3BC3640C" w14:textId="77777777" w:rsidR="009F54DF" w:rsidRPr="00AB38DA" w:rsidRDefault="00000000">
      <w:pPr>
        <w:rPr>
          <w:sz w:val="24"/>
          <w:szCs w:val="24"/>
        </w:rPr>
      </w:pPr>
      <w:r w:rsidRPr="00AB38DA">
        <w:rPr>
          <w:sz w:val="24"/>
          <w:szCs w:val="24"/>
        </w:rPr>
        <w:t xml:space="preserve">- Strategija razvitka riječnog prometa u Republici Hrvatskoj za razdoblje od 2022. do 2032. </w:t>
      </w:r>
    </w:p>
    <w:p w14:paraId="51E1EFEF" w14:textId="77777777" w:rsidR="009F54DF" w:rsidRPr="00AB38DA" w:rsidRDefault="00000000">
      <w:pPr>
        <w:rPr>
          <w:sz w:val="24"/>
          <w:szCs w:val="24"/>
        </w:rPr>
      </w:pPr>
      <w:r w:rsidRPr="00AB38DA">
        <w:rPr>
          <w:sz w:val="24"/>
          <w:szCs w:val="24"/>
        </w:rPr>
        <w:t xml:space="preserve">- Srednjoročni plan razvitka vodnih putova, luka i pristaništa Republike Hrvatske za razdoblje od 2022. do 2031. godine </w:t>
      </w:r>
    </w:p>
    <w:p w14:paraId="63BE79EA" w14:textId="77777777" w:rsidR="009F54DF" w:rsidRPr="00AB38DA" w:rsidRDefault="00000000">
      <w:pPr>
        <w:rPr>
          <w:sz w:val="24"/>
          <w:szCs w:val="24"/>
        </w:rPr>
      </w:pPr>
      <w:r w:rsidRPr="00AB38DA">
        <w:rPr>
          <w:sz w:val="24"/>
          <w:szCs w:val="24"/>
        </w:rPr>
        <w:t>- Zakon o proračunu</w:t>
      </w:r>
    </w:p>
    <w:p w14:paraId="1D57FAE6" w14:textId="77777777" w:rsidR="009F54DF" w:rsidRPr="00AB38DA" w:rsidRDefault="00000000">
      <w:pPr>
        <w:pStyle w:val="Heading8"/>
        <w:jc w:val="left"/>
        <w:rPr>
          <w:sz w:val="24"/>
          <w:szCs w:val="24"/>
        </w:rPr>
      </w:pPr>
      <w:r w:rsidRPr="00AB38DA">
        <w:rPr>
          <w:sz w:val="24"/>
          <w:szCs w:val="24"/>
        </w:rPr>
        <w:t>Opis aktivnosti</w:t>
      </w:r>
    </w:p>
    <w:p w14:paraId="53410AD1" w14:textId="6785CCC9" w:rsidR="009F54DF" w:rsidRPr="00AB38DA" w:rsidRDefault="00000000">
      <w:pPr>
        <w:rPr>
          <w:sz w:val="24"/>
          <w:szCs w:val="24"/>
        </w:rPr>
      </w:pPr>
      <w:r w:rsidRPr="00AB38DA">
        <w:rPr>
          <w:sz w:val="24"/>
          <w:szCs w:val="24"/>
        </w:rPr>
        <w:t xml:space="preserve">U okviru aktivnosti A931002  Gradnja i održavanje u 2025. godini utrošena su financijska sredstva u iznosu 2.621.845 </w:t>
      </w:r>
      <w:r w:rsidR="00F74AF5" w:rsidRPr="00AB38DA">
        <w:rPr>
          <w:sz w:val="24"/>
          <w:szCs w:val="24"/>
        </w:rPr>
        <w:t>EUR</w:t>
      </w:r>
      <w:r w:rsidRPr="00AB38DA">
        <w:rPr>
          <w:sz w:val="24"/>
          <w:szCs w:val="24"/>
        </w:rPr>
        <w:t xml:space="preserve"> za: </w:t>
      </w:r>
    </w:p>
    <w:p w14:paraId="0148D5C9" w14:textId="77777777" w:rsidR="009F54DF" w:rsidRPr="00AB38DA" w:rsidRDefault="00000000">
      <w:pPr>
        <w:rPr>
          <w:sz w:val="24"/>
          <w:szCs w:val="24"/>
        </w:rPr>
      </w:pPr>
      <w:r w:rsidRPr="00AB38DA">
        <w:rPr>
          <w:sz w:val="24"/>
          <w:szCs w:val="24"/>
        </w:rPr>
        <w:t>-</w:t>
      </w:r>
      <w:r w:rsidRPr="00AB38DA">
        <w:rPr>
          <w:sz w:val="24"/>
          <w:szCs w:val="24"/>
        </w:rPr>
        <w:tab/>
        <w:t xml:space="preserve">održavanje lučkog područja (bazen Galdovo, bazen Crnac), održavanje putničkih pristaništa te održavanje opreme i plovila </w:t>
      </w:r>
    </w:p>
    <w:p w14:paraId="623E3C09" w14:textId="77777777" w:rsidR="009F54DF" w:rsidRPr="00AB38DA" w:rsidRDefault="00000000">
      <w:pPr>
        <w:rPr>
          <w:sz w:val="24"/>
          <w:szCs w:val="24"/>
        </w:rPr>
      </w:pPr>
      <w:r w:rsidRPr="00AB38DA">
        <w:rPr>
          <w:sz w:val="24"/>
          <w:szCs w:val="24"/>
        </w:rPr>
        <w:t xml:space="preserve"> </w:t>
      </w:r>
    </w:p>
    <w:p w14:paraId="08921212" w14:textId="77777777" w:rsidR="009F54DF" w:rsidRPr="00AB38DA" w:rsidRDefault="00000000">
      <w:pPr>
        <w:rPr>
          <w:sz w:val="24"/>
          <w:szCs w:val="24"/>
        </w:rPr>
      </w:pPr>
      <w:r w:rsidRPr="00AB38DA">
        <w:rPr>
          <w:sz w:val="24"/>
          <w:szCs w:val="24"/>
        </w:rPr>
        <w:t>-</w:t>
      </w:r>
      <w:r w:rsidRPr="00AB38DA">
        <w:rPr>
          <w:sz w:val="24"/>
          <w:szCs w:val="24"/>
        </w:rPr>
        <w:tab/>
        <w:t>izgrađen je Prodajno servisni centar na lokaciji brodogradilišnog pristaništa Galdovo (zamjenski objekt potresom oštećene hale radionica) te su opremljene uredske prostorije  namještajem, hala zgrade specijaliziranom opremom i strojevima te kompletna zgrada klimatizacijskim sustavom. Također u cijelom krugu Brodogradilišnog pristaništa izveden je sustav videonadzora.</w:t>
      </w:r>
      <w:r w:rsidRPr="00AB38DA">
        <w:rPr>
          <w:sz w:val="24"/>
          <w:szCs w:val="24"/>
        </w:rPr>
        <w:tab/>
        <w:t xml:space="preserve"> </w:t>
      </w:r>
    </w:p>
    <w:p w14:paraId="66CBF196" w14:textId="77777777" w:rsidR="009F54DF" w:rsidRPr="00AB38DA" w:rsidRDefault="00000000">
      <w:pPr>
        <w:rPr>
          <w:sz w:val="24"/>
          <w:szCs w:val="24"/>
        </w:rPr>
      </w:pPr>
      <w:r w:rsidRPr="00AB38DA">
        <w:rPr>
          <w:sz w:val="24"/>
          <w:szCs w:val="24"/>
        </w:rPr>
        <w:t xml:space="preserve"> </w:t>
      </w:r>
    </w:p>
    <w:p w14:paraId="38FFF869" w14:textId="77777777" w:rsidR="009F54DF" w:rsidRPr="00AB38DA" w:rsidRDefault="00000000">
      <w:pPr>
        <w:rPr>
          <w:sz w:val="24"/>
          <w:szCs w:val="24"/>
        </w:rPr>
      </w:pPr>
      <w:r w:rsidRPr="00AB38DA">
        <w:rPr>
          <w:sz w:val="24"/>
          <w:szCs w:val="24"/>
        </w:rPr>
        <w:t>-</w:t>
      </w:r>
      <w:r w:rsidRPr="00AB38DA">
        <w:rPr>
          <w:sz w:val="24"/>
          <w:szCs w:val="24"/>
        </w:rPr>
        <w:tab/>
        <w:t xml:space="preserve">nastavljena je gradnja komunalnog pristaništa na rijeci Kupi u Sisku koja će omogućiti pristajanje, sidrenje i zaštitu plovila sa 194 veza za brodove dužine do 12m. U 2025.g. izvodili su se radovi II. Faze izgradnje koji su obuhvaćali izvođenje vanjskog dijela obaloutvrde, dovršetak iskopa te uređenje šetnice. Sredinom 2025.g. proveden je otvoreni postupak javne nabave za radove IV. faze izgradnje koja obuhvaća opremanje pristaništa pontonima i pristupnim mostovima, dobivena je suglasnost te je krajem godine potpisan ugovor i započeti su radovi. </w:t>
      </w:r>
    </w:p>
    <w:p w14:paraId="4EE9A3B8" w14:textId="77777777" w:rsidR="009F54DF" w:rsidRPr="00AB38DA" w:rsidRDefault="00000000">
      <w:pPr>
        <w:rPr>
          <w:sz w:val="24"/>
          <w:szCs w:val="24"/>
        </w:rPr>
      </w:pPr>
      <w:r w:rsidRPr="00AB38DA">
        <w:rPr>
          <w:sz w:val="24"/>
          <w:szCs w:val="24"/>
        </w:rPr>
        <w:t xml:space="preserve"> </w:t>
      </w:r>
    </w:p>
    <w:p w14:paraId="743A9FEF" w14:textId="77777777" w:rsidR="009F54DF" w:rsidRPr="00AB38DA" w:rsidRDefault="00000000">
      <w:pPr>
        <w:rPr>
          <w:sz w:val="24"/>
          <w:szCs w:val="24"/>
        </w:rPr>
      </w:pPr>
      <w:r w:rsidRPr="00AB38DA">
        <w:rPr>
          <w:sz w:val="24"/>
          <w:szCs w:val="24"/>
        </w:rPr>
        <w:t>-</w:t>
      </w:r>
      <w:r w:rsidRPr="00AB38DA">
        <w:rPr>
          <w:sz w:val="24"/>
          <w:szCs w:val="24"/>
        </w:rPr>
        <w:tab/>
        <w:t xml:space="preserve">Javno putničko pristanište je projekt Lučke uprave Sisak kojim se omogućuje prihvat turističkih brodova i riječnih kruzera na lijevoj obali rijeke Kupe u centru Siska. Namjena pristana Biokovo je sigurno prihvaćanje plovila i putnika, međutim uz ovu osnovnu namjenu može se koristiti i kao objekt za ulazno izlaznu carinsku - graničnu reviziju. U 2025.g. dovršena je klasifikacijska dokumentacija te je dobiveno odobrenje HRB-a .   </w:t>
      </w:r>
    </w:p>
    <w:p w14:paraId="081688B7" w14:textId="77777777" w:rsidR="009F54DF" w:rsidRPr="00AB38DA" w:rsidRDefault="00000000">
      <w:pPr>
        <w:rPr>
          <w:sz w:val="24"/>
          <w:szCs w:val="24"/>
        </w:rPr>
      </w:pPr>
      <w:r w:rsidRPr="00AB38DA">
        <w:rPr>
          <w:sz w:val="24"/>
          <w:szCs w:val="24"/>
        </w:rPr>
        <w:t xml:space="preserve"> </w:t>
      </w:r>
    </w:p>
    <w:p w14:paraId="638795BE" w14:textId="77777777" w:rsidR="009F54DF" w:rsidRPr="00AB38DA" w:rsidRDefault="00000000">
      <w:pPr>
        <w:rPr>
          <w:sz w:val="24"/>
          <w:szCs w:val="24"/>
        </w:rPr>
      </w:pPr>
      <w:r w:rsidRPr="00AB38DA">
        <w:rPr>
          <w:sz w:val="24"/>
          <w:szCs w:val="24"/>
        </w:rPr>
        <w:t>-</w:t>
      </w:r>
      <w:r w:rsidRPr="00AB38DA">
        <w:rPr>
          <w:sz w:val="24"/>
          <w:szCs w:val="24"/>
        </w:rPr>
        <w:tab/>
        <w:t>Za razvoj pristaništa i skelnih prijelaza u 2025.g. proveden je otvoreni postupak javne nabave za uslugu izrade dokumentacije za pristaništa na području grada Obrovca, potpisan je ugovor te je započeto projektiranje. Planirani završetak s ishođenjem dozvola za izvođenje je tijekom 2026.g. Tijekom 2025.g. je proveden otvoreni postupak za radove pristaništa Brođani, potpisan je Ugvor te je započeta izgradnja. Pristanište je kompletno izvedeno, međutim zbog zahtjeva HRB-a radi se na dodatnom ojačanju pristupnog mosta te je očekivani završetak izgradnje travanj 2026.g. Za III. Fazu izvođenja marine Crkvine u sklopu Vranskog jezera proveden je otvoreni postupak javne nabave za radove, međutim pristigla ponude je višestruko premašivala procijenjenu vrijednost te je nabava ponište i pristupilo se reviziji tender dokumentacije.</w:t>
      </w:r>
    </w:p>
    <w:p w14:paraId="6EB0338C" w14:textId="77777777" w:rsidR="00B76B7E" w:rsidRPr="00AB38DA" w:rsidRDefault="00B76B7E">
      <w:pPr>
        <w:rPr>
          <w:sz w:val="24"/>
          <w:szCs w:val="24"/>
        </w:rPr>
      </w:pPr>
    </w:p>
    <w:p w14:paraId="0BF182FA" w14:textId="21E4092C" w:rsidR="00B76B7E" w:rsidRPr="00AB38DA" w:rsidRDefault="00B76B7E" w:rsidP="00B76B7E">
      <w:pPr>
        <w:rPr>
          <w:sz w:val="24"/>
          <w:szCs w:val="24"/>
        </w:rPr>
      </w:pPr>
      <w:r w:rsidRPr="00AB38DA">
        <w:rPr>
          <w:sz w:val="24"/>
          <w:szCs w:val="24"/>
        </w:rPr>
        <w:t>Indeks izvršenja aktivnosti A931002 Gradnja i održavanje  u odnosu na 2024. godinu je 61,48%  zbog poništenja jedne od nabava za radove iz aktivnosti A931002 Gradnja i održvanje pa sukladno tome »uštedi« sredstava koja su planirana za</w:t>
      </w:r>
      <w:r w:rsidR="008F1709" w:rsidRPr="00AB38DA">
        <w:rPr>
          <w:sz w:val="24"/>
          <w:szCs w:val="24"/>
        </w:rPr>
        <w:t xml:space="preserve"> predmetno</w:t>
      </w:r>
      <w:r w:rsidRPr="00AB38DA">
        <w:rPr>
          <w:sz w:val="24"/>
          <w:szCs w:val="24"/>
        </w:rPr>
        <w:t xml:space="preserve"> ulaganje. </w:t>
      </w:r>
    </w:p>
    <w:p w14:paraId="0B77BF45" w14:textId="77777777" w:rsidR="00B76B7E" w:rsidRPr="00AB38DA" w:rsidRDefault="00B76B7E">
      <w:pPr>
        <w:rPr>
          <w:sz w:val="24"/>
          <w:szCs w:val="24"/>
        </w:rPr>
      </w:pPr>
    </w:p>
    <w:p w14:paraId="3344DE86" w14:textId="77777777" w:rsidR="00420354" w:rsidRPr="00AB38DA" w:rsidRDefault="00420354">
      <w:pPr>
        <w:rPr>
          <w:sz w:val="24"/>
          <w:szCs w:val="24"/>
        </w:rPr>
      </w:pPr>
    </w:p>
    <w:p w14:paraId="63887BE1" w14:textId="77777777" w:rsidR="009F54DF" w:rsidRPr="00AB38DA" w:rsidRDefault="00000000">
      <w:pPr>
        <w:pStyle w:val="Heading8"/>
        <w:jc w:val="left"/>
        <w:rPr>
          <w:sz w:val="24"/>
          <w:szCs w:val="24"/>
        </w:rPr>
      </w:pPr>
      <w:r w:rsidRPr="00AB38DA">
        <w:rPr>
          <w:sz w:val="24"/>
          <w:szCs w:val="24"/>
        </w:rPr>
        <w:t>Pokazatelji rezultata</w:t>
      </w:r>
    </w:p>
    <w:tbl>
      <w:tblPr>
        <w:tblStyle w:val="StilTablice"/>
        <w:tblW w:w="10206" w:type="dxa"/>
        <w:jc w:val="center"/>
        <w:tblLook w:val="04A0" w:firstRow="1" w:lastRow="0" w:firstColumn="1" w:lastColumn="0" w:noHBand="0" w:noVBand="1"/>
      </w:tblPr>
      <w:tblGrid>
        <w:gridCol w:w="2468"/>
        <w:gridCol w:w="2472"/>
        <w:gridCol w:w="1013"/>
        <w:gridCol w:w="1074"/>
        <w:gridCol w:w="1018"/>
        <w:gridCol w:w="1074"/>
        <w:gridCol w:w="1087"/>
      </w:tblGrid>
      <w:tr w:rsidR="009F54DF" w:rsidRPr="00AB38DA" w14:paraId="624726C8" w14:textId="77777777">
        <w:trPr>
          <w:jc w:val="center"/>
        </w:trPr>
        <w:tc>
          <w:tcPr>
            <w:tcW w:w="2551" w:type="dxa"/>
            <w:shd w:val="clear" w:color="auto" w:fill="B5C0D8"/>
          </w:tcPr>
          <w:p w14:paraId="0605491F" w14:textId="77777777" w:rsidR="009F54DF" w:rsidRPr="00AB38DA" w:rsidRDefault="00000000">
            <w:pPr>
              <w:jc w:val="center"/>
              <w:rPr>
                <w:sz w:val="24"/>
                <w:szCs w:val="24"/>
              </w:rPr>
            </w:pPr>
            <w:r w:rsidRPr="00AB38DA">
              <w:rPr>
                <w:sz w:val="24"/>
                <w:szCs w:val="24"/>
              </w:rPr>
              <w:t>Pokazatelj rezultata</w:t>
            </w:r>
          </w:p>
        </w:tc>
        <w:tc>
          <w:tcPr>
            <w:tcW w:w="2551" w:type="dxa"/>
            <w:shd w:val="clear" w:color="auto" w:fill="B5C0D8"/>
          </w:tcPr>
          <w:p w14:paraId="13D2F0B3" w14:textId="77777777" w:rsidR="009F54DF" w:rsidRPr="00AB38DA" w:rsidRDefault="00000000">
            <w:pPr>
              <w:pStyle w:val="CellHeader"/>
              <w:jc w:val="center"/>
              <w:rPr>
                <w:rFonts w:cs="Times New Roman"/>
                <w:sz w:val="24"/>
                <w:szCs w:val="24"/>
              </w:rPr>
            </w:pPr>
            <w:r w:rsidRPr="00AB38DA">
              <w:rPr>
                <w:rFonts w:cs="Times New Roman"/>
                <w:sz w:val="24"/>
                <w:szCs w:val="24"/>
              </w:rPr>
              <w:t>Definicija</w:t>
            </w:r>
          </w:p>
        </w:tc>
        <w:tc>
          <w:tcPr>
            <w:tcW w:w="1020" w:type="dxa"/>
            <w:shd w:val="clear" w:color="auto" w:fill="B5C0D8"/>
          </w:tcPr>
          <w:p w14:paraId="1E68AC9D" w14:textId="77777777" w:rsidR="009F54DF" w:rsidRPr="00AB38DA" w:rsidRDefault="00000000">
            <w:pPr>
              <w:pStyle w:val="CellHeader"/>
              <w:jc w:val="center"/>
              <w:rPr>
                <w:rFonts w:cs="Times New Roman"/>
                <w:sz w:val="24"/>
                <w:szCs w:val="24"/>
              </w:rPr>
            </w:pPr>
            <w:r w:rsidRPr="00AB38DA">
              <w:rPr>
                <w:rFonts w:cs="Times New Roman"/>
                <w:sz w:val="24"/>
                <w:szCs w:val="24"/>
              </w:rPr>
              <w:t>Jedinica</w:t>
            </w:r>
          </w:p>
        </w:tc>
        <w:tc>
          <w:tcPr>
            <w:tcW w:w="1020" w:type="dxa"/>
            <w:shd w:val="clear" w:color="auto" w:fill="B5C0D8"/>
          </w:tcPr>
          <w:p w14:paraId="30B2D59B" w14:textId="77777777" w:rsidR="009F54DF" w:rsidRPr="00AB38DA" w:rsidRDefault="00000000">
            <w:pPr>
              <w:pStyle w:val="CellHeader"/>
              <w:jc w:val="center"/>
              <w:rPr>
                <w:rFonts w:cs="Times New Roman"/>
                <w:sz w:val="24"/>
                <w:szCs w:val="24"/>
              </w:rPr>
            </w:pPr>
            <w:r w:rsidRPr="00AB38DA">
              <w:rPr>
                <w:rFonts w:cs="Times New Roman"/>
                <w:sz w:val="24"/>
                <w:szCs w:val="24"/>
              </w:rPr>
              <w:t>Polazna vrijednost</w:t>
            </w:r>
          </w:p>
        </w:tc>
        <w:tc>
          <w:tcPr>
            <w:tcW w:w="1020" w:type="dxa"/>
            <w:shd w:val="clear" w:color="auto" w:fill="B5C0D8"/>
          </w:tcPr>
          <w:p w14:paraId="57B97B97" w14:textId="77777777" w:rsidR="009F54DF" w:rsidRPr="00AB38DA" w:rsidRDefault="00000000">
            <w:pPr>
              <w:pStyle w:val="CellHeader"/>
              <w:jc w:val="center"/>
              <w:rPr>
                <w:rFonts w:cs="Times New Roman"/>
                <w:sz w:val="24"/>
                <w:szCs w:val="24"/>
              </w:rPr>
            </w:pPr>
            <w:r w:rsidRPr="00AB38DA">
              <w:rPr>
                <w:rFonts w:cs="Times New Roman"/>
                <w:sz w:val="24"/>
                <w:szCs w:val="24"/>
              </w:rPr>
              <w:t>Izvor podataka</w:t>
            </w:r>
          </w:p>
        </w:tc>
        <w:tc>
          <w:tcPr>
            <w:tcW w:w="1020" w:type="dxa"/>
            <w:shd w:val="clear" w:color="auto" w:fill="B5C0D8"/>
          </w:tcPr>
          <w:p w14:paraId="01C7395C" w14:textId="77777777" w:rsidR="009F54DF" w:rsidRPr="00AB38DA" w:rsidRDefault="00000000">
            <w:pPr>
              <w:pStyle w:val="CellHeader"/>
              <w:jc w:val="center"/>
              <w:rPr>
                <w:rFonts w:cs="Times New Roman"/>
                <w:sz w:val="24"/>
                <w:szCs w:val="24"/>
              </w:rPr>
            </w:pPr>
            <w:r w:rsidRPr="00AB38DA">
              <w:rPr>
                <w:rFonts w:cs="Times New Roman"/>
                <w:sz w:val="24"/>
                <w:szCs w:val="24"/>
              </w:rPr>
              <w:t>Ciljana vrijednost (2025.)</w:t>
            </w:r>
          </w:p>
        </w:tc>
        <w:tc>
          <w:tcPr>
            <w:tcW w:w="1020" w:type="dxa"/>
            <w:shd w:val="clear" w:color="auto" w:fill="B5C0D8"/>
          </w:tcPr>
          <w:p w14:paraId="52F0284E" w14:textId="77777777" w:rsidR="009F54DF" w:rsidRPr="00AB38DA" w:rsidRDefault="00000000">
            <w:pPr>
              <w:pStyle w:val="CellHeader"/>
              <w:jc w:val="center"/>
              <w:rPr>
                <w:rFonts w:cs="Times New Roman"/>
                <w:sz w:val="24"/>
                <w:szCs w:val="24"/>
              </w:rPr>
            </w:pPr>
            <w:r w:rsidRPr="00AB38DA">
              <w:rPr>
                <w:rFonts w:cs="Times New Roman"/>
                <w:sz w:val="24"/>
                <w:szCs w:val="24"/>
              </w:rPr>
              <w:t>Ostvarena vrijednost (2025.)</w:t>
            </w:r>
          </w:p>
        </w:tc>
      </w:tr>
      <w:tr w:rsidR="009F54DF" w:rsidRPr="00AB38DA" w14:paraId="284F6486" w14:textId="77777777">
        <w:trPr>
          <w:jc w:val="center"/>
        </w:trPr>
        <w:tc>
          <w:tcPr>
            <w:tcW w:w="2551" w:type="dxa"/>
          </w:tcPr>
          <w:p w14:paraId="5EA7AD75" w14:textId="77777777" w:rsidR="009F54DF" w:rsidRPr="00AB38DA" w:rsidRDefault="00000000">
            <w:pPr>
              <w:pStyle w:val="CellColumn"/>
              <w:jc w:val="left"/>
              <w:rPr>
                <w:rFonts w:cs="Times New Roman"/>
                <w:sz w:val="24"/>
                <w:szCs w:val="24"/>
              </w:rPr>
            </w:pPr>
            <w:r w:rsidRPr="00AB38DA">
              <w:rPr>
                <w:rFonts w:cs="Times New Roman"/>
                <w:sz w:val="24"/>
                <w:szCs w:val="24"/>
              </w:rPr>
              <w:t>Povećanje broja izgrađenih i otvorenih  pristaništa u nadležnosti Lučke uprave Sisak</w:t>
            </w:r>
          </w:p>
        </w:tc>
        <w:tc>
          <w:tcPr>
            <w:tcW w:w="2551" w:type="dxa"/>
          </w:tcPr>
          <w:p w14:paraId="61B6436F" w14:textId="77777777" w:rsidR="009F54DF" w:rsidRPr="00AB38DA" w:rsidRDefault="00000000">
            <w:pPr>
              <w:pStyle w:val="CellColumn"/>
              <w:jc w:val="left"/>
              <w:rPr>
                <w:rFonts w:cs="Times New Roman"/>
                <w:sz w:val="24"/>
                <w:szCs w:val="24"/>
              </w:rPr>
            </w:pPr>
            <w:r w:rsidRPr="00AB38DA">
              <w:rPr>
                <w:rFonts w:cs="Times New Roman"/>
                <w:sz w:val="24"/>
                <w:szCs w:val="24"/>
              </w:rPr>
              <w:t>Završetkom izgradnje i otvaranja pristaništa stvorit će se preduvjeti za povećanje broja putnika i količine pretovarene robe</w:t>
            </w:r>
          </w:p>
        </w:tc>
        <w:tc>
          <w:tcPr>
            <w:tcW w:w="1020" w:type="dxa"/>
          </w:tcPr>
          <w:p w14:paraId="2845E2AD" w14:textId="77777777" w:rsidR="009F54DF" w:rsidRPr="00AB38DA" w:rsidRDefault="00000000">
            <w:pPr>
              <w:pStyle w:val="CellColumn"/>
              <w:jc w:val="right"/>
              <w:rPr>
                <w:rFonts w:cs="Times New Roman"/>
                <w:sz w:val="24"/>
                <w:szCs w:val="24"/>
              </w:rPr>
            </w:pPr>
            <w:r w:rsidRPr="00AB38DA">
              <w:rPr>
                <w:rFonts w:cs="Times New Roman"/>
                <w:sz w:val="24"/>
                <w:szCs w:val="24"/>
              </w:rPr>
              <w:t>broj</w:t>
            </w:r>
          </w:p>
        </w:tc>
        <w:tc>
          <w:tcPr>
            <w:tcW w:w="1020" w:type="dxa"/>
          </w:tcPr>
          <w:p w14:paraId="1C15C929" w14:textId="77777777" w:rsidR="009F54DF" w:rsidRPr="00AB38DA" w:rsidRDefault="00000000">
            <w:pPr>
              <w:pStyle w:val="CellColumn"/>
              <w:jc w:val="right"/>
              <w:rPr>
                <w:rFonts w:cs="Times New Roman"/>
                <w:sz w:val="24"/>
                <w:szCs w:val="24"/>
              </w:rPr>
            </w:pPr>
            <w:r w:rsidRPr="00AB38DA">
              <w:rPr>
                <w:rFonts w:cs="Times New Roman"/>
                <w:sz w:val="24"/>
                <w:szCs w:val="24"/>
              </w:rPr>
              <w:t>19</w:t>
            </w:r>
          </w:p>
        </w:tc>
        <w:tc>
          <w:tcPr>
            <w:tcW w:w="1020" w:type="dxa"/>
          </w:tcPr>
          <w:p w14:paraId="0AD2FA39" w14:textId="77777777" w:rsidR="009F54DF" w:rsidRPr="00AB38DA" w:rsidRDefault="00000000">
            <w:pPr>
              <w:pStyle w:val="CellColumn"/>
              <w:jc w:val="right"/>
              <w:rPr>
                <w:rFonts w:cs="Times New Roman"/>
                <w:sz w:val="24"/>
                <w:szCs w:val="24"/>
              </w:rPr>
            </w:pPr>
            <w:r w:rsidRPr="00AB38DA">
              <w:rPr>
                <w:rFonts w:cs="Times New Roman"/>
                <w:sz w:val="24"/>
                <w:szCs w:val="24"/>
              </w:rPr>
              <w:t>Lučka uprava Sisak</w:t>
            </w:r>
          </w:p>
        </w:tc>
        <w:tc>
          <w:tcPr>
            <w:tcW w:w="1020" w:type="dxa"/>
          </w:tcPr>
          <w:p w14:paraId="5AD60564" w14:textId="77777777" w:rsidR="009F54DF" w:rsidRPr="00AB38DA" w:rsidRDefault="00000000">
            <w:pPr>
              <w:pStyle w:val="CellColumn"/>
              <w:jc w:val="right"/>
              <w:rPr>
                <w:rFonts w:cs="Times New Roman"/>
                <w:sz w:val="24"/>
                <w:szCs w:val="24"/>
              </w:rPr>
            </w:pPr>
            <w:r w:rsidRPr="00AB38DA">
              <w:rPr>
                <w:rFonts w:cs="Times New Roman"/>
                <w:sz w:val="24"/>
                <w:szCs w:val="24"/>
              </w:rPr>
              <w:t>20</w:t>
            </w:r>
          </w:p>
        </w:tc>
        <w:tc>
          <w:tcPr>
            <w:tcW w:w="1020" w:type="dxa"/>
          </w:tcPr>
          <w:p w14:paraId="5F99BF5E" w14:textId="77777777" w:rsidR="009F54DF" w:rsidRPr="00AB38DA" w:rsidRDefault="00000000">
            <w:pPr>
              <w:pStyle w:val="CellColumn"/>
              <w:jc w:val="right"/>
              <w:rPr>
                <w:rFonts w:cs="Times New Roman"/>
                <w:sz w:val="24"/>
                <w:szCs w:val="24"/>
              </w:rPr>
            </w:pPr>
            <w:r w:rsidRPr="00AB38DA">
              <w:rPr>
                <w:rFonts w:cs="Times New Roman"/>
                <w:sz w:val="24"/>
                <w:szCs w:val="24"/>
              </w:rPr>
              <w:t>19</w:t>
            </w:r>
          </w:p>
        </w:tc>
      </w:tr>
    </w:tbl>
    <w:p w14:paraId="08D02753" w14:textId="77777777" w:rsidR="009F54DF" w:rsidRPr="00AB38DA" w:rsidRDefault="009F54DF">
      <w:pPr>
        <w:jc w:val="left"/>
        <w:rPr>
          <w:sz w:val="24"/>
          <w:szCs w:val="24"/>
        </w:rPr>
      </w:pPr>
    </w:p>
    <w:sectPr w:rsidR="009F54DF" w:rsidRPr="00AB38DA"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39AC" w14:textId="77777777" w:rsidR="002B58C2" w:rsidRDefault="002B58C2" w:rsidP="00F352E6">
      <w:r>
        <w:separator/>
      </w:r>
    </w:p>
  </w:endnote>
  <w:endnote w:type="continuationSeparator" w:id="0">
    <w:p w14:paraId="3949B1B7" w14:textId="77777777" w:rsidR="002B58C2" w:rsidRDefault="002B58C2"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EF82" w14:textId="77777777" w:rsidR="006E091F" w:rsidRPr="00D769ED" w:rsidRDefault="006E091F"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81C3" w14:textId="77777777" w:rsidR="002B58C2" w:rsidRDefault="002B58C2" w:rsidP="00F352E6">
      <w:r>
        <w:separator/>
      </w:r>
    </w:p>
  </w:footnote>
  <w:footnote w:type="continuationSeparator" w:id="0">
    <w:p w14:paraId="64B84F46" w14:textId="77777777" w:rsidR="002B58C2" w:rsidRDefault="002B58C2"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9D29" w14:textId="77777777" w:rsidR="006E091F" w:rsidRDefault="006E091F"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0F70B6"/>
    <w:rsid w:val="0010779D"/>
    <w:rsid w:val="0013155A"/>
    <w:rsid w:val="0017490A"/>
    <w:rsid w:val="001E5246"/>
    <w:rsid w:val="0027042C"/>
    <w:rsid w:val="002B58C2"/>
    <w:rsid w:val="00311AA1"/>
    <w:rsid w:val="00382225"/>
    <w:rsid w:val="00386953"/>
    <w:rsid w:val="00420354"/>
    <w:rsid w:val="00463609"/>
    <w:rsid w:val="00480C76"/>
    <w:rsid w:val="004C01B5"/>
    <w:rsid w:val="0052289C"/>
    <w:rsid w:val="00524A66"/>
    <w:rsid w:val="00525563"/>
    <w:rsid w:val="00526A7C"/>
    <w:rsid w:val="005A70C0"/>
    <w:rsid w:val="005B6ED7"/>
    <w:rsid w:val="005E2D85"/>
    <w:rsid w:val="005E44FD"/>
    <w:rsid w:val="00633683"/>
    <w:rsid w:val="00674346"/>
    <w:rsid w:val="006B3283"/>
    <w:rsid w:val="006E091F"/>
    <w:rsid w:val="007665AA"/>
    <w:rsid w:val="007A7E45"/>
    <w:rsid w:val="007D1C46"/>
    <w:rsid w:val="007D395B"/>
    <w:rsid w:val="007D4430"/>
    <w:rsid w:val="007E12F6"/>
    <w:rsid w:val="00847495"/>
    <w:rsid w:val="008636E2"/>
    <w:rsid w:val="008A7E2A"/>
    <w:rsid w:val="008F1709"/>
    <w:rsid w:val="009359F2"/>
    <w:rsid w:val="0094382E"/>
    <w:rsid w:val="00951B1A"/>
    <w:rsid w:val="009818EA"/>
    <w:rsid w:val="00984F2B"/>
    <w:rsid w:val="009E33D3"/>
    <w:rsid w:val="009F54DF"/>
    <w:rsid w:val="00A021A2"/>
    <w:rsid w:val="00A320E5"/>
    <w:rsid w:val="00A70582"/>
    <w:rsid w:val="00AB38DA"/>
    <w:rsid w:val="00AB5FEA"/>
    <w:rsid w:val="00AB7B4E"/>
    <w:rsid w:val="00B15946"/>
    <w:rsid w:val="00B2737F"/>
    <w:rsid w:val="00B31E2E"/>
    <w:rsid w:val="00B41BF8"/>
    <w:rsid w:val="00B76B7E"/>
    <w:rsid w:val="00BA487B"/>
    <w:rsid w:val="00BA7BD1"/>
    <w:rsid w:val="00BB642B"/>
    <w:rsid w:val="00BF02E9"/>
    <w:rsid w:val="00BF3F24"/>
    <w:rsid w:val="00C00F70"/>
    <w:rsid w:val="00C7470A"/>
    <w:rsid w:val="00CF7F9F"/>
    <w:rsid w:val="00DE2416"/>
    <w:rsid w:val="00DF6F0E"/>
    <w:rsid w:val="00E42E87"/>
    <w:rsid w:val="00E62EF0"/>
    <w:rsid w:val="00E9037B"/>
    <w:rsid w:val="00ED0E3A"/>
    <w:rsid w:val="00F352E6"/>
    <w:rsid w:val="00F67315"/>
    <w:rsid w:val="00F74AF5"/>
    <w:rsid w:val="00F91724"/>
    <w:rsid w:val="00F92AEE"/>
    <w:rsid w:val="00FD009F"/>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4BEF"/>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Ana Cvitan</cp:lastModifiedBy>
  <cp:revision>8</cp:revision>
  <dcterms:created xsi:type="dcterms:W3CDTF">2026-03-04T13:31:00Z</dcterms:created>
  <dcterms:modified xsi:type="dcterms:W3CDTF">2026-03-24T15:18:00Z</dcterms:modified>
</cp:coreProperties>
</file>